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F2" w:rsidRPr="00CE2309" w:rsidRDefault="002955F2" w:rsidP="00D52E92">
      <w:pPr>
        <w:tabs>
          <w:tab w:val="left" w:pos="7755"/>
        </w:tabs>
        <w:rPr>
          <w:rFonts w:cs="Arial"/>
          <w:b/>
          <w:color w:val="auto"/>
          <w:sz w:val="32"/>
          <w:szCs w:val="22"/>
          <w:shd w:val="clear" w:color="auto" w:fill="FFFFFF"/>
        </w:rPr>
      </w:pPr>
      <w:r>
        <w:rPr>
          <w:b/>
          <w:color w:val="auto"/>
          <w:sz w:val="32"/>
          <w:szCs w:val="22"/>
          <w:shd w:val="clear" w:color="auto" w:fill="FFFFFF"/>
        </w:rPr>
        <w:t>Highrise construction takes on new dimensions</w:t>
      </w:r>
      <w:r w:rsidR="00D52E92">
        <w:rPr>
          <w:b/>
          <w:color w:val="auto"/>
          <w:sz w:val="32"/>
          <w:szCs w:val="22"/>
          <w:shd w:val="clear" w:color="auto" w:fill="FFFFFF"/>
        </w:rPr>
        <w:tab/>
      </w:r>
    </w:p>
    <w:p w:rsidR="004169A6" w:rsidRPr="00CE2309" w:rsidRDefault="004169A6" w:rsidP="00F07E4C">
      <w:pPr>
        <w:rPr>
          <w:rFonts w:cs="Arial"/>
          <w:b/>
          <w:color w:val="auto"/>
          <w:sz w:val="32"/>
          <w:szCs w:val="22"/>
          <w:shd w:val="clear" w:color="auto" w:fill="FFFFFF"/>
        </w:rPr>
      </w:pPr>
    </w:p>
    <w:p w:rsidR="002955F2" w:rsidRPr="002955F2" w:rsidRDefault="002955F2" w:rsidP="00F07E4C">
      <w:pPr>
        <w:rPr>
          <w:rFonts w:cs="Arial"/>
          <w:b/>
          <w:color w:val="auto"/>
          <w:szCs w:val="22"/>
          <w:shd w:val="clear" w:color="auto" w:fill="FFFFFF"/>
        </w:rPr>
      </w:pPr>
      <w:r>
        <w:rPr>
          <w:b/>
          <w:color w:val="auto"/>
          <w:szCs w:val="22"/>
          <w:shd w:val="clear" w:color="auto" w:fill="FFFFFF"/>
        </w:rPr>
        <w:t>Doka offers a wide range of systems and services</w:t>
      </w:r>
    </w:p>
    <w:p w:rsidR="00601815" w:rsidRPr="00601815" w:rsidRDefault="00601815" w:rsidP="00F07E4C">
      <w:pPr>
        <w:rPr>
          <w:rFonts w:cs="Arial"/>
          <w:b/>
          <w:color w:val="FF0000"/>
          <w:szCs w:val="22"/>
          <w:shd w:val="clear" w:color="auto" w:fill="FFFFFF"/>
        </w:rPr>
      </w:pPr>
    </w:p>
    <w:p w:rsidR="009D19F3" w:rsidRPr="00A65FF5" w:rsidRDefault="00A65FF5" w:rsidP="00A65FF5">
      <w:pPr>
        <w:spacing w:line="276" w:lineRule="auto"/>
        <w:rPr>
          <w:b/>
          <w:color w:val="auto"/>
          <w:szCs w:val="22"/>
        </w:rPr>
      </w:pPr>
      <w:r>
        <w:rPr>
          <w:b/>
          <w:color w:val="auto"/>
          <w:szCs w:val="22"/>
        </w:rPr>
        <w:t>Skyscrapers are inherently impressive and construction experts are invariably fascinated by their engineering, design and safety. Only a matter of years ago, a tower 200 metres tall would have ranked as a landmark build. Some projects nowadays surpass that figure by a factor of five.</w:t>
      </w:r>
      <w:r w:rsidR="00BE26DF">
        <w:rPr>
          <w:b/>
          <w:color w:val="auto"/>
          <w:szCs w:val="22"/>
        </w:rPr>
        <w:t xml:space="preserve"> </w:t>
      </w:r>
      <w:r w:rsidR="002533FD">
        <w:rPr>
          <w:b/>
          <w:color w:val="auto"/>
          <w:szCs w:val="22"/>
        </w:rPr>
        <w:t>Doka has the right formwork solutions for every highrise project. The company also invests continuously in further development of products and services dovetailed to the individual requirements of customers.</w:t>
      </w:r>
    </w:p>
    <w:p w:rsidR="000904EA" w:rsidRDefault="000904EA" w:rsidP="00C04655">
      <w:pPr>
        <w:spacing w:line="276" w:lineRule="auto"/>
        <w:rPr>
          <w:rFonts w:cs="Arial"/>
          <w:b/>
          <w:color w:val="auto"/>
          <w:sz w:val="21"/>
          <w:szCs w:val="21"/>
          <w:shd w:val="clear" w:color="auto" w:fill="FFFFFF"/>
        </w:rPr>
      </w:pPr>
    </w:p>
    <w:p w:rsidR="00485CF7" w:rsidRDefault="00201F1E" w:rsidP="00C04655">
      <w:pPr>
        <w:spacing w:line="276" w:lineRule="auto"/>
        <w:rPr>
          <w:color w:val="auto"/>
          <w:szCs w:val="22"/>
        </w:rPr>
      </w:pPr>
      <w:r>
        <w:rPr>
          <w:color w:val="auto"/>
          <w:szCs w:val="22"/>
        </w:rPr>
        <w:t xml:space="preserve">Since the 1990s there has been an upsurge in highrise construction. After the Empire State Building (1931) and Sears Tower (1974, now Willis Tower) builds, their height records stood for decades. Since 1998 the cycle has been shortened to a matter of years. The “Year in Review: Tall Trends of 2017” study by the Council on Tall Buildings and Urban Habitat (CTBUH) reported that with 144 highrise structures (200 m or taller) built, a new record had been set. Most of these skyscrapers (53 %) are sited in China. At this time there are 1319 highrise buildings (200 m or taller) in the world. It is worth noting, too, that geographically 2017 was the most diverse year in history for tall-building construction. 69 cities in 23 countries completed new highrise builds, a huge increase of 54 cities and 18 countries compared to 2016. </w:t>
      </w:r>
    </w:p>
    <w:p w:rsidR="00790BD9" w:rsidRDefault="00790BD9" w:rsidP="00C04655">
      <w:pPr>
        <w:spacing w:line="276" w:lineRule="auto"/>
        <w:rPr>
          <w:color w:val="auto"/>
          <w:szCs w:val="22"/>
        </w:rPr>
      </w:pPr>
    </w:p>
    <w:p w:rsidR="006F525C" w:rsidRDefault="003048A1" w:rsidP="00C04655">
      <w:pPr>
        <w:spacing w:line="276" w:lineRule="auto"/>
        <w:rPr>
          <w:rFonts w:cs="Arial"/>
          <w:color w:val="222222"/>
          <w:sz w:val="21"/>
          <w:szCs w:val="21"/>
          <w:shd w:val="clear" w:color="auto" w:fill="FFFFFF"/>
        </w:rPr>
      </w:pPr>
      <w:r>
        <w:rPr>
          <w:color w:val="auto"/>
          <w:szCs w:val="22"/>
        </w:rPr>
        <w:t xml:space="preserve">The world’s tallest building and structure at this time is the Burj Khalifa in Dubai. It stands 830 metres tall and has 163 usable storeys. </w:t>
      </w:r>
      <w:r>
        <w:rPr>
          <w:color w:val="222222"/>
          <w:szCs w:val="22"/>
          <w:shd w:val="clear" w:color="auto" w:fill="FFFFFF"/>
        </w:rPr>
        <w:t>From the engineering point of view, the maximum viable height is about 1.5 to 2 km. Although buildable, taller structures are impractical because they could support little more than their own weight. New man-made materials and new technologies could push this limit higher in the future, however.</w:t>
      </w:r>
      <w:r>
        <w:rPr>
          <w:color w:val="222222"/>
          <w:sz w:val="21"/>
          <w:szCs w:val="21"/>
          <w:shd w:val="clear" w:color="auto" w:fill="FFFFFF"/>
        </w:rPr>
        <w:t xml:space="preserve"> </w:t>
      </w:r>
    </w:p>
    <w:p w:rsidR="00F305CD" w:rsidRDefault="00F305CD" w:rsidP="00C04655">
      <w:pPr>
        <w:spacing w:line="276" w:lineRule="auto"/>
        <w:rPr>
          <w:rFonts w:cs="Arial"/>
          <w:color w:val="222222"/>
          <w:sz w:val="21"/>
          <w:szCs w:val="21"/>
          <w:shd w:val="clear" w:color="auto" w:fill="FFFFFF"/>
        </w:rPr>
      </w:pPr>
    </w:p>
    <w:p w:rsidR="002955F2" w:rsidRPr="002955F2" w:rsidRDefault="00F305CD" w:rsidP="00713D23">
      <w:pPr>
        <w:spacing w:line="276" w:lineRule="auto"/>
        <w:rPr>
          <w:rFonts w:cs="Arial"/>
          <w:color w:val="222222"/>
          <w:szCs w:val="22"/>
          <w:shd w:val="clear" w:color="auto" w:fill="FFFFFF"/>
        </w:rPr>
      </w:pPr>
      <w:r>
        <w:rPr>
          <w:color w:val="222222"/>
          <w:szCs w:val="22"/>
          <w:shd w:val="clear" w:color="auto" w:fill="FFFFFF"/>
        </w:rPr>
        <w:t>Doka is fit for the future. For any set of requirements, the company offers custom formwork solutions for all CIP concrete components in highrise and super-highrise construction, from the foundations to the topmost storey.</w:t>
      </w:r>
      <w:r>
        <w:t xml:space="preserve"> No matter how different, no matter how unique every individual highrise project might be, Doka always aims at the overall project solution to make construction optimised, fast and safe.</w:t>
      </w:r>
    </w:p>
    <w:p w:rsidR="002955F2" w:rsidRDefault="002955F2" w:rsidP="00713D23">
      <w:pPr>
        <w:spacing w:line="276" w:lineRule="auto"/>
        <w:rPr>
          <w:b/>
        </w:rPr>
      </w:pPr>
    </w:p>
    <w:p w:rsidR="00713D23" w:rsidRPr="00C650ED" w:rsidRDefault="009C4850" w:rsidP="00713D23">
      <w:pPr>
        <w:spacing w:line="276" w:lineRule="auto"/>
        <w:rPr>
          <w:color w:val="FF0000"/>
        </w:rPr>
      </w:pPr>
      <w:r>
        <w:rPr>
          <w:b/>
        </w:rPr>
        <w:t>Broad range of applications for climbing systems</w:t>
      </w:r>
    </w:p>
    <w:p w:rsidR="00E868D5" w:rsidRDefault="00C82CB5" w:rsidP="00DA554A">
      <w:pPr>
        <w:spacing w:line="276" w:lineRule="auto"/>
        <w:rPr>
          <w:color w:val="auto"/>
        </w:rPr>
      </w:pPr>
      <w:r>
        <w:t>For a little more than 40 years now (since 1977, to be precise), Doka has used climbing</w:t>
      </w:r>
      <w:r w:rsidR="00AB5935">
        <w:t xml:space="preserve"> formwork on highrise projects. </w:t>
      </w:r>
      <w:r>
        <w:t>Automatic climbing formwork has been available since 1989. An 'automatic climbing system' is a combination of wall formwork and scaffold (or working platform) that is able to climb by itself from one pouring section to the next. Whatever the set of requirements, Doka offers automatic climbing formwork for th</w:t>
      </w:r>
      <w:r w:rsidR="00BE26DF">
        <w:t>e building core and building fac</w:t>
      </w:r>
      <w:r>
        <w:t>ade.</w:t>
      </w:r>
      <w:r>
        <w:rPr>
          <w:color w:val="auto"/>
        </w:rPr>
        <w:t xml:space="preserve"> </w:t>
      </w:r>
    </w:p>
    <w:p w:rsidR="00E868D5" w:rsidRDefault="00E868D5" w:rsidP="00DA554A">
      <w:pPr>
        <w:spacing w:line="276" w:lineRule="auto"/>
        <w:rPr>
          <w:color w:val="auto"/>
        </w:rPr>
      </w:pPr>
    </w:p>
    <w:p w:rsidR="00DA554A" w:rsidRPr="00DA554A" w:rsidRDefault="00DA554A" w:rsidP="00DA554A">
      <w:pPr>
        <w:spacing w:line="276" w:lineRule="auto"/>
      </w:pPr>
      <w:r>
        <w:lastRenderedPageBreak/>
        <w:t>In terms of method of operation/type, three different system</w:t>
      </w:r>
      <w:r w:rsidR="00E067DC">
        <w:t>s</w:t>
      </w:r>
      <w:r>
        <w:t xml:space="preserve"> with hydraulic drive have established themselves on the market.</w:t>
      </w:r>
    </w:p>
    <w:p w:rsidR="00713D23" w:rsidRDefault="00713D23" w:rsidP="00883373">
      <w:pPr>
        <w:spacing w:line="276" w:lineRule="auto"/>
      </w:pPr>
    </w:p>
    <w:p w:rsidR="001D0541" w:rsidRPr="00903766" w:rsidRDefault="00DA554A" w:rsidP="00903766">
      <w:pPr>
        <w:pStyle w:val="Listenabsatz"/>
        <w:numPr>
          <w:ilvl w:val="0"/>
          <w:numId w:val="39"/>
        </w:numPr>
        <w:rPr>
          <w:color w:val="auto"/>
          <w:u w:val="single"/>
        </w:rPr>
      </w:pPr>
      <w:r>
        <w:rPr>
          <w:color w:val="auto"/>
          <w:u w:val="single"/>
        </w:rPr>
        <w:t xml:space="preserve">Profile-guided climbing systems </w:t>
      </w:r>
    </w:p>
    <w:p w:rsidR="001D0541" w:rsidRPr="008D1182" w:rsidRDefault="008D1182" w:rsidP="008D1182">
      <w:pPr>
        <w:rPr>
          <w:color w:val="auto"/>
        </w:rPr>
      </w:pPr>
      <w:r>
        <w:rPr>
          <w:color w:val="auto"/>
        </w:rPr>
        <w:t>Structure-guided by climbing profiles, these systems are climbed from storey to storey by a fully integral or mobile hydraulic system.</w:t>
      </w:r>
      <w:r>
        <w:t xml:space="preserve"> Climbing is safe and fast, even in high-velocity wind conditions.</w:t>
      </w:r>
    </w:p>
    <w:p w:rsidR="001D0541" w:rsidRDefault="001D0541" w:rsidP="00DA554A">
      <w:pPr>
        <w:spacing w:line="276" w:lineRule="auto"/>
        <w:rPr>
          <w:color w:val="auto"/>
        </w:rPr>
      </w:pPr>
    </w:p>
    <w:p w:rsidR="00DA554A" w:rsidRPr="001D0541" w:rsidRDefault="001D0541" w:rsidP="001D0541">
      <w:pPr>
        <w:pStyle w:val="Listenabsatz"/>
        <w:numPr>
          <w:ilvl w:val="0"/>
          <w:numId w:val="39"/>
        </w:numPr>
        <w:spacing w:line="276" w:lineRule="auto"/>
        <w:rPr>
          <w:color w:val="auto"/>
        </w:rPr>
      </w:pPr>
      <w:r>
        <w:rPr>
          <w:color w:val="auto"/>
          <w:u w:val="single"/>
        </w:rPr>
        <w:t>Platform systems</w:t>
      </w:r>
    </w:p>
    <w:p w:rsidR="00DA554A" w:rsidRDefault="001D0541" w:rsidP="00DA554A">
      <w:pPr>
        <w:spacing w:line="276" w:lineRule="auto"/>
        <w:rPr>
          <w:color w:val="auto"/>
        </w:rPr>
      </w:pPr>
      <w:r>
        <w:rPr>
          <w:color w:val="auto"/>
        </w:rPr>
        <w:t>Platform systems are formwork machines optimised specifically for the construction of highrise building cores. The main component is a pouring and reinforcement platform. It is climbed in a single lift by a small number of long-stroke hydraulic cylinders.</w:t>
      </w:r>
    </w:p>
    <w:p w:rsidR="00814E9B" w:rsidRDefault="00814E9B" w:rsidP="0023028B">
      <w:pPr>
        <w:spacing w:line="276" w:lineRule="auto"/>
        <w:rPr>
          <w:color w:val="auto"/>
        </w:rPr>
      </w:pPr>
    </w:p>
    <w:p w:rsidR="00814E9B" w:rsidRPr="0029322A" w:rsidRDefault="00814E9B" w:rsidP="00814E9B">
      <w:pPr>
        <w:pStyle w:val="Listenabsatz"/>
        <w:numPr>
          <w:ilvl w:val="0"/>
          <w:numId w:val="39"/>
        </w:numPr>
        <w:spacing w:line="276" w:lineRule="auto"/>
        <w:rPr>
          <w:color w:val="auto"/>
          <w:u w:val="single"/>
        </w:rPr>
      </w:pPr>
      <w:r>
        <w:rPr>
          <w:color w:val="auto"/>
          <w:u w:val="single"/>
        </w:rPr>
        <w:t>Protection screen systems</w:t>
      </w:r>
    </w:p>
    <w:p w:rsidR="008C19F4" w:rsidRPr="008C19F4" w:rsidRDefault="008C19F4" w:rsidP="008C19F4">
      <w:pPr>
        <w:spacing w:line="276" w:lineRule="auto"/>
        <w:rPr>
          <w:color w:val="auto"/>
        </w:rPr>
      </w:pPr>
      <w:r>
        <w:rPr>
          <w:color w:val="auto"/>
        </w:rPr>
        <w:t>Safety is immensely important when construction work has to be carried out at dizzy heights. In highrise construction, protection screen systems offer all-round protection for the topmost levels of the structure. They boost productivity, particularly when work has to be carried out close to the edge of the structure.</w:t>
      </w:r>
    </w:p>
    <w:p w:rsidR="000675CE" w:rsidRPr="0049413A" w:rsidRDefault="000675CE" w:rsidP="00713D23">
      <w:pPr>
        <w:spacing w:line="276" w:lineRule="auto"/>
        <w:rPr>
          <w:b/>
          <w:szCs w:val="22"/>
          <w:lang w:val="en-US"/>
        </w:rPr>
      </w:pPr>
    </w:p>
    <w:p w:rsidR="00772DB1" w:rsidRPr="00265E79" w:rsidRDefault="00C82CB5" w:rsidP="00713D23">
      <w:pPr>
        <w:spacing w:line="276" w:lineRule="auto"/>
        <w:rPr>
          <w:b/>
          <w:szCs w:val="22"/>
        </w:rPr>
      </w:pPr>
      <w:r>
        <w:rPr>
          <w:b/>
          <w:szCs w:val="22"/>
        </w:rPr>
        <w:t>Optimising construction progress</w:t>
      </w:r>
    </w:p>
    <w:p w:rsidR="00772DB1" w:rsidRPr="00265E79" w:rsidRDefault="00772DB1" w:rsidP="00772DB1">
      <w:pPr>
        <w:spacing w:line="276" w:lineRule="auto"/>
        <w:rPr>
          <w:szCs w:val="22"/>
        </w:rPr>
      </w:pPr>
      <w:r>
        <w:t>From planning stage through to project completion, Doka experts provide help</w:t>
      </w:r>
    </w:p>
    <w:p w:rsidR="000675CE" w:rsidRDefault="00772DB1" w:rsidP="00713D23">
      <w:pPr>
        <w:spacing w:line="276" w:lineRule="auto"/>
      </w:pPr>
      <w:r>
        <w:t>with professional consultation in case of any questions. Safe use of formwork systems is achieved not only by the system, but even more so by using the system components correctly. Factors such as cycle time, construction method, type of reinforcement, site equipment and concrete placement have to be taken into consideration in the planning phase so that the ideal formwork solution can be developed. The 3D planning of structures and structural members is an important contributor in this respect. Animations and photo-realistic images make complicated structures easier to understand and make project progress forecasts more transparent. The boundary conditions are brought together in a holistic model. A network of highrise specialists worldwide and the Global Expertise Center High</w:t>
      </w:r>
      <w:r w:rsidR="00C95097">
        <w:t xml:space="preserve"> R</w:t>
      </w:r>
      <w:r>
        <w:t>ise in Amstetten support consulting, planning and successful implementation.</w:t>
      </w:r>
    </w:p>
    <w:p w:rsidR="0029322A" w:rsidRDefault="0029322A" w:rsidP="00713D23">
      <w:pPr>
        <w:spacing w:line="276" w:lineRule="auto"/>
      </w:pPr>
    </w:p>
    <w:p w:rsidR="00A618BA" w:rsidRDefault="00A618BA" w:rsidP="00713D23">
      <w:pPr>
        <w:spacing w:line="276" w:lineRule="auto"/>
      </w:pPr>
    </w:p>
    <w:p w:rsidR="00A618BA" w:rsidRDefault="00A618BA" w:rsidP="00713D23">
      <w:pPr>
        <w:spacing w:line="276" w:lineRule="auto"/>
      </w:pPr>
    </w:p>
    <w:p w:rsidR="00A618BA" w:rsidRDefault="00A618BA" w:rsidP="00713D23">
      <w:pPr>
        <w:spacing w:line="276" w:lineRule="auto"/>
      </w:pPr>
      <w:bookmarkStart w:id="0" w:name="_GoBack"/>
      <w:bookmarkEnd w:id="0"/>
    </w:p>
    <w:p w:rsidR="0049413A" w:rsidRDefault="0049413A" w:rsidP="00713D23">
      <w:pPr>
        <w:spacing w:line="276" w:lineRule="auto"/>
      </w:pPr>
    </w:p>
    <w:p w:rsidR="0049413A" w:rsidRDefault="0049413A" w:rsidP="00713D23">
      <w:pPr>
        <w:spacing w:line="276" w:lineRule="auto"/>
      </w:pPr>
    </w:p>
    <w:p w:rsidR="0049413A" w:rsidRDefault="0049413A" w:rsidP="00713D23">
      <w:pPr>
        <w:spacing w:line="276" w:lineRule="auto"/>
      </w:pPr>
    </w:p>
    <w:p w:rsidR="00C333FD" w:rsidRDefault="00C333FD" w:rsidP="00713D23">
      <w:pPr>
        <w:spacing w:line="276" w:lineRule="auto"/>
      </w:pPr>
    </w:p>
    <w:p w:rsidR="0049413A" w:rsidRDefault="0049413A" w:rsidP="00713D23">
      <w:pPr>
        <w:spacing w:line="276" w:lineRule="auto"/>
      </w:pPr>
    </w:p>
    <w:p w:rsidR="006D3FFF" w:rsidRDefault="00522EBF" w:rsidP="00713D23">
      <w:pPr>
        <w:spacing w:line="276" w:lineRule="auto"/>
      </w:pPr>
      <w:r>
        <w:lastRenderedPageBreak/>
        <w:t>At Doka, work on technical innovations and product developments is ongoing all the time. The overview below shows the milestones in automatic climbing formwork from 1989 to the present day.</w:t>
      </w:r>
    </w:p>
    <w:p w:rsidR="00A618BA" w:rsidRDefault="00A618BA" w:rsidP="00713D23">
      <w:pPr>
        <w:spacing w:line="276" w:lineRule="auto"/>
      </w:pPr>
    </w:p>
    <w:p w:rsidR="00AE53FC" w:rsidRPr="006F73A7" w:rsidRDefault="00AE53FC" w:rsidP="00713D23">
      <w:pPr>
        <w:spacing w:line="276" w:lineRule="auto"/>
      </w:pPr>
      <w:r>
        <w:rPr>
          <w:b/>
        </w:rPr>
        <w:t>SKE – the beginnings of automatic climbing formwork</w:t>
      </w:r>
    </w:p>
    <w:p w:rsidR="00AE53FC" w:rsidRDefault="00B21300" w:rsidP="00713D23">
      <w:pPr>
        <w:spacing w:line="276" w:lineRule="auto"/>
      </w:pPr>
      <w:r>
        <w:t>1989 marks the start of self-climbing formwork with the SKE 30 system, which was used for the first time on the Thai Wah Tower build in Bangkok, Thailand.</w:t>
      </w:r>
    </w:p>
    <w:p w:rsidR="00B01A01" w:rsidRPr="00CA3A9F" w:rsidRDefault="00B01A01" w:rsidP="00713D23">
      <w:pPr>
        <w:spacing w:line="276" w:lineRule="auto"/>
        <w:rPr>
          <w:b/>
          <w:highlight w:val="yellow"/>
        </w:rPr>
      </w:pPr>
    </w:p>
    <w:p w:rsidR="007C108A" w:rsidRPr="00CA3A9F" w:rsidRDefault="00871A16" w:rsidP="007C108A">
      <w:pPr>
        <w:pStyle w:val="Einleitung"/>
        <w:spacing w:line="276" w:lineRule="auto"/>
        <w:rPr>
          <w:rFonts w:cs="Arial"/>
        </w:rPr>
      </w:pPr>
      <w:r>
        <w:t xml:space="preserve">SCP </w:t>
      </w:r>
      <w:r w:rsidR="00A43089">
        <w:t xml:space="preserve">– </w:t>
      </w:r>
      <w:r w:rsidR="007C108A">
        <w:t>self-climbing formwork and working platform for any highrise core</w:t>
      </w:r>
    </w:p>
    <w:p w:rsidR="00272A8C" w:rsidRPr="001E743E" w:rsidRDefault="00D46B89" w:rsidP="001E743E">
      <w:pPr>
        <w:pStyle w:val="Einleitung"/>
        <w:spacing w:line="276" w:lineRule="auto"/>
        <w:rPr>
          <w:rFonts w:cs="Arial"/>
          <w:b w:val="0"/>
        </w:rPr>
      </w:pPr>
      <w:r>
        <w:rPr>
          <w:b w:val="0"/>
        </w:rPr>
        <w:t>22 years ago, Platform SCP debuted on the Zurich Toren project in The Hague, Netherlands. Long-stroke hydraulic cylinders, rated at 40 metric tons, quickly climb the fully enclosed working platform to the next pouring section. In 2010 the Super Climber SCP was developed for the requirements of the North American market. That same year it was used on the 2550 North Lakeview project in Chicago, USA.</w:t>
      </w:r>
    </w:p>
    <w:p w:rsidR="00272A8C" w:rsidRPr="00123CF2" w:rsidRDefault="00272A8C" w:rsidP="00272A8C">
      <w:pPr>
        <w:pStyle w:val="Einleitung"/>
        <w:spacing w:line="276" w:lineRule="auto"/>
        <w:rPr>
          <w:rFonts w:cs="Arial"/>
          <w:b w:val="0"/>
        </w:rPr>
      </w:pPr>
    </w:p>
    <w:p w:rsidR="00272A8C" w:rsidRPr="00C33E48" w:rsidRDefault="00272A8C" w:rsidP="00272A8C">
      <w:pPr>
        <w:pStyle w:val="Einleitung"/>
        <w:spacing w:line="276" w:lineRule="auto"/>
        <w:rPr>
          <w:rFonts w:cs="Arial"/>
        </w:rPr>
      </w:pPr>
      <w:r>
        <w:t>Burj Khalifa – currently the world’s tallest building</w:t>
      </w:r>
    </w:p>
    <w:p w:rsidR="00272A8C" w:rsidRDefault="001F2159" w:rsidP="00272A8C">
      <w:pPr>
        <w:spacing w:line="276" w:lineRule="auto"/>
      </w:pPr>
      <w:r>
        <w:t>In 2005 Doka formwork was used in Dubai, United Arab Emirates, to help construct the world’s tallest building. Doka supplied the formwork solution for the entire structure core. The shape of the 830-metre tower meant that the formwork needed to be highly adaptable. In addition, the extremely tight construction schedule necessitated an ingenious utilisation plan for the SKE 100 climbers and the versatile Large-area formwork Top 50.</w:t>
      </w:r>
    </w:p>
    <w:p w:rsidR="00272A8C" w:rsidRDefault="00272A8C" w:rsidP="00272A8C">
      <w:pPr>
        <w:spacing w:line="276" w:lineRule="auto"/>
      </w:pPr>
    </w:p>
    <w:p w:rsidR="00272A8C" w:rsidRPr="002A08B0" w:rsidRDefault="00272A8C" w:rsidP="00272A8C">
      <w:pPr>
        <w:pStyle w:val="Einleitung"/>
        <w:spacing w:line="276" w:lineRule="auto"/>
        <w:rPr>
          <w:rFonts w:cs="Arial"/>
        </w:rPr>
      </w:pPr>
      <w:r>
        <w:t>Protection screen Xclimb 60 – applied variety of design</w:t>
      </w:r>
    </w:p>
    <w:p w:rsidR="00272A8C" w:rsidRPr="00D455C2" w:rsidRDefault="00272A8C" w:rsidP="003F7C37">
      <w:pPr>
        <w:spacing w:line="276" w:lineRule="auto"/>
      </w:pPr>
      <w:r>
        <w:t>Protection screen Xclimb 60, used for the very first time on the Burj Khalifa build, offers safety all the way up. Framed enclosure Xbright, first used in 2011 on the European Central Bank (ECB) project in Frankfurt, Germany, fully encloses the topmost levels on the build. Short assembly times are another advantage, because the enclosure panels are frame-based and the panel connectors simple and easy to use. Protection screen Xclimb 60 has also been used since 2012 for structure renovation and demolition. The protection screen climbs downward as demolition work progresses. This dispenses with the need for costly and time-consuming erection of a full-height, scaffold-mounted enclosure. On the No. 1 Nine Elms project in London, England, a protection screen was built to enclose 3.5 floors of the structure. A radically new feature was incorporated for the Aurora Melbourne Central build in 2017. A monorail system integrated into the p</w:t>
      </w:r>
      <w:r w:rsidR="005B376F">
        <w:t>rotection screen enabled the fac</w:t>
      </w:r>
      <w:r>
        <w:t>ade panels to be installed quickly and in absolute safety.</w:t>
      </w:r>
    </w:p>
    <w:p w:rsidR="00B7756D" w:rsidRDefault="00B7756D" w:rsidP="00272A8C">
      <w:pPr>
        <w:spacing w:line="276" w:lineRule="auto"/>
        <w:rPr>
          <w:rFonts w:cs="Arial"/>
          <w:b/>
          <w:szCs w:val="22"/>
        </w:rPr>
      </w:pPr>
    </w:p>
    <w:p w:rsidR="006632D6" w:rsidRDefault="0011589F" w:rsidP="00272A8C">
      <w:pPr>
        <w:spacing w:line="276" w:lineRule="auto"/>
        <w:rPr>
          <w:rFonts w:cs="Arial"/>
          <w:b/>
          <w:szCs w:val="22"/>
        </w:rPr>
      </w:pPr>
      <w:r>
        <w:rPr>
          <w:b/>
          <w:szCs w:val="22"/>
        </w:rPr>
        <w:t>From GCS to Automatic climbing formwork Xclimb 60</w:t>
      </w:r>
    </w:p>
    <w:p w:rsidR="00272A8C" w:rsidRPr="006632D6" w:rsidRDefault="00CA3364" w:rsidP="00272A8C">
      <w:pPr>
        <w:spacing w:line="276" w:lineRule="auto"/>
        <w:rPr>
          <w:rFonts w:cs="Arial"/>
          <w:bCs/>
          <w:szCs w:val="22"/>
        </w:rPr>
      </w:pPr>
      <w:r>
        <w:t>The product line started in 2003 with the Guided climbing formwork system GCS. Back then, the climbing platforms had to</w:t>
      </w:r>
      <w:r w:rsidR="00CE053F">
        <w:t xml:space="preserve"> be crane-lifted into position. </w:t>
      </w:r>
      <w:r>
        <w:t>Automatic climbing formwork Xclimb 60 is the next generation of guided climbing formwork with the addition of a mobile hydraulic system. It was used for the first time on construction of the Timelkam combined-cycle power plant in Austria in 2007.</w:t>
      </w:r>
    </w:p>
    <w:p w:rsidR="002C37E0" w:rsidRDefault="002C37E0" w:rsidP="00976978">
      <w:pPr>
        <w:spacing w:line="276" w:lineRule="auto"/>
        <w:rPr>
          <w:rFonts w:cs="Arial"/>
        </w:rPr>
      </w:pPr>
    </w:p>
    <w:p w:rsidR="00976978" w:rsidRPr="00855CBB" w:rsidRDefault="00976978" w:rsidP="00976978">
      <w:pPr>
        <w:spacing w:line="276" w:lineRule="auto"/>
        <w:rPr>
          <w:rFonts w:cs="Arial"/>
          <w:b/>
        </w:rPr>
      </w:pPr>
      <w:r>
        <w:rPr>
          <w:b/>
        </w:rPr>
        <w:t xml:space="preserve">Table Lifting System TLS – the ideal shifting device for </w:t>
      </w:r>
      <w:r>
        <w:rPr>
          <w:b/>
          <w:bCs/>
        </w:rPr>
        <w:t xml:space="preserve">tableform projects </w:t>
      </w:r>
    </w:p>
    <w:p w:rsidR="00976978" w:rsidRPr="00855CBB" w:rsidRDefault="00855CBB" w:rsidP="00976978">
      <w:pPr>
        <w:spacing w:line="276" w:lineRule="auto"/>
        <w:rPr>
          <w:rFonts w:cs="Arial"/>
        </w:rPr>
      </w:pPr>
      <w:r>
        <w:t xml:space="preserve">With the Table Lifting System TLS, tableforms and construction materials can be vertically shifted from one floor to the next with no need for a crane. </w:t>
      </w:r>
    </w:p>
    <w:p w:rsidR="00B27AA4" w:rsidRDefault="00B27AA4" w:rsidP="007C108A">
      <w:pPr>
        <w:pStyle w:val="Einleitung"/>
        <w:spacing w:line="276" w:lineRule="auto"/>
        <w:rPr>
          <w:rFonts w:cs="Arial"/>
          <w:b w:val="0"/>
          <w:highlight w:val="yellow"/>
        </w:rPr>
      </w:pPr>
    </w:p>
    <w:p w:rsidR="00713D23" w:rsidRPr="0096270B" w:rsidRDefault="000873E2" w:rsidP="00713D23">
      <w:pPr>
        <w:pStyle w:val="Einleitung"/>
        <w:spacing w:line="276" w:lineRule="auto"/>
        <w:rPr>
          <w:rFonts w:cs="Arial"/>
        </w:rPr>
      </w:pPr>
      <w:r>
        <w:t>SKE plus – crane-independent climbing formwork for structures of any shape and height</w:t>
      </w:r>
    </w:p>
    <w:p w:rsidR="00713D23" w:rsidRPr="00855CBB" w:rsidRDefault="00852428" w:rsidP="007C108A">
      <w:pPr>
        <w:pStyle w:val="Einleitung"/>
        <w:spacing w:line="276" w:lineRule="auto"/>
        <w:rPr>
          <w:rFonts w:cs="Arial"/>
          <w:b w:val="0"/>
        </w:rPr>
      </w:pPr>
      <w:r>
        <w:rPr>
          <w:b w:val="0"/>
        </w:rPr>
        <w:t xml:space="preserve">An extensive modular system with integrated hydraulics for a very wide range of applications. The SKEplus 50 system variant is rated at 5 metric tons per lifting unit and is ideal for the majority of applications on </w:t>
      </w:r>
      <w:r w:rsidR="00F53275">
        <w:rPr>
          <w:b w:val="0"/>
        </w:rPr>
        <w:t>the core and on the building fac</w:t>
      </w:r>
      <w:r>
        <w:rPr>
          <w:b w:val="0"/>
        </w:rPr>
        <w:t>ade. Even stronger and rating 10 metric tons per lifting unit, bigger brother SKEplus 100 is built for elevated requirements such as severe influencing conditions, additional working platforms or extra-heavy live loads.</w:t>
      </w:r>
    </w:p>
    <w:p w:rsidR="00A56452" w:rsidRDefault="00A56452" w:rsidP="002A08B0">
      <w:pPr>
        <w:spacing w:line="276" w:lineRule="auto"/>
        <w:rPr>
          <w:color w:val="FF0000"/>
        </w:rPr>
      </w:pPr>
    </w:p>
    <w:p w:rsidR="00C967C3" w:rsidRPr="00F3125B" w:rsidRDefault="002A08B0" w:rsidP="002A08B0">
      <w:pPr>
        <w:spacing w:line="276" w:lineRule="auto"/>
        <w:rPr>
          <w:rFonts w:cs="Arial"/>
          <w:b/>
        </w:rPr>
      </w:pPr>
      <w:r>
        <w:rPr>
          <w:b/>
        </w:rPr>
        <w:t>Lubeca – Doka expands into new markets</w:t>
      </w:r>
    </w:p>
    <w:p w:rsidR="003D595C" w:rsidRDefault="00F3125B" w:rsidP="003D595C">
      <w:pPr>
        <w:spacing w:line="276" w:lineRule="auto"/>
        <w:rPr>
          <w:rFonts w:cs="Arial"/>
          <w:bCs/>
        </w:rPr>
      </w:pPr>
      <w:r>
        <w:t xml:space="preserve">By acquiring Lubeca Pty Ltd. in 2014, Doka strengthened its presence on the Australian market. The highrise specialists based in Australia deal with projects throughout the Pacific region. The merger also established the Lubeca Jumpform platform system as part of Doka’s product portfolio. Rated at 20 metric tons per hydraulic cylinder, the system is used primarily in residential construction and for building concrete cores of office towers and tall multi-purpose structures. </w:t>
      </w:r>
    </w:p>
    <w:p w:rsidR="003D595C" w:rsidRDefault="003D595C" w:rsidP="000873E2">
      <w:pPr>
        <w:spacing w:line="276" w:lineRule="auto"/>
        <w:rPr>
          <w:rFonts w:cs="Arial"/>
          <w:szCs w:val="22"/>
          <w:highlight w:val="yellow"/>
        </w:rPr>
      </w:pPr>
    </w:p>
    <w:p w:rsidR="00B21300" w:rsidRPr="006C09E1" w:rsidRDefault="00B942CC" w:rsidP="000873E2">
      <w:pPr>
        <w:spacing w:line="276" w:lineRule="auto"/>
        <w:rPr>
          <w:rFonts w:cs="Arial"/>
          <w:b/>
          <w:szCs w:val="22"/>
        </w:rPr>
      </w:pPr>
      <w:r>
        <w:rPr>
          <w:b/>
          <w:szCs w:val="22"/>
        </w:rPr>
        <w:t xml:space="preserve">Xclimb 60 Short track </w:t>
      </w:r>
      <w:r>
        <w:rPr>
          <w:b/>
        </w:rPr>
        <w:t>– for formed/poured in advance cores of low to medium-tall structures</w:t>
      </w:r>
    </w:p>
    <w:p w:rsidR="00C967C3" w:rsidRPr="008371DF" w:rsidRDefault="006B592F" w:rsidP="00C967C3">
      <w:pPr>
        <w:spacing w:line="276" w:lineRule="auto"/>
        <w:rPr>
          <w:rFonts w:cs="Arial"/>
          <w:highlight w:val="yellow"/>
        </w:rPr>
      </w:pPr>
      <w:r>
        <w:t>A compact climbing system with a short, one-piece vertical profile (hence the “Short track” suffix) that has been in use since last year and was designed specifically for the markets in Asia and the Near and Middle East. This system is Doka’s latest product innovation in the automatic climbing sector.</w:t>
      </w:r>
    </w:p>
    <w:p w:rsidR="0040232C" w:rsidRDefault="0040232C" w:rsidP="0040232C">
      <w:pPr>
        <w:spacing w:line="276" w:lineRule="auto"/>
        <w:rPr>
          <w:b/>
          <w:noProof/>
          <w:szCs w:val="22"/>
        </w:rPr>
      </w:pPr>
    </w:p>
    <w:p w:rsidR="00CB74AF" w:rsidRPr="005E67C5" w:rsidRDefault="00CB74AF" w:rsidP="0040232C">
      <w:pPr>
        <w:spacing w:line="276" w:lineRule="auto"/>
        <w:rPr>
          <w:b/>
          <w:noProof/>
          <w:szCs w:val="22"/>
        </w:rPr>
      </w:pPr>
    </w:p>
    <w:p w:rsidR="00E2209C" w:rsidRPr="005E67C5" w:rsidRDefault="00E2209C" w:rsidP="0040232C">
      <w:pPr>
        <w:spacing w:line="276" w:lineRule="auto"/>
        <w:rPr>
          <w:b/>
          <w:noProof/>
          <w:szCs w:val="22"/>
        </w:rPr>
      </w:pPr>
    </w:p>
    <w:p w:rsidR="00053DAF" w:rsidRPr="005E67C5" w:rsidRDefault="00053DAF" w:rsidP="0040232C">
      <w:pPr>
        <w:spacing w:line="276" w:lineRule="auto"/>
        <w:rPr>
          <w:b/>
          <w:noProof/>
          <w:szCs w:val="22"/>
        </w:rPr>
      </w:pPr>
    </w:p>
    <w:p w:rsidR="00053DAF" w:rsidRPr="005E67C5" w:rsidRDefault="00053DAF" w:rsidP="0040232C">
      <w:pPr>
        <w:spacing w:line="276" w:lineRule="auto"/>
        <w:rPr>
          <w:b/>
          <w:noProof/>
          <w:szCs w:val="22"/>
        </w:rPr>
      </w:pPr>
    </w:p>
    <w:p w:rsidR="00053DAF" w:rsidRPr="005E67C5" w:rsidRDefault="00053DAF" w:rsidP="0040232C">
      <w:pPr>
        <w:spacing w:line="276" w:lineRule="auto"/>
        <w:rPr>
          <w:b/>
          <w:noProof/>
          <w:szCs w:val="22"/>
        </w:rPr>
      </w:pPr>
    </w:p>
    <w:p w:rsidR="00053DAF" w:rsidRPr="005E67C5" w:rsidRDefault="00053DAF" w:rsidP="0040232C">
      <w:pPr>
        <w:spacing w:line="276" w:lineRule="auto"/>
        <w:rPr>
          <w:b/>
          <w:noProof/>
          <w:szCs w:val="22"/>
        </w:rPr>
      </w:pPr>
    </w:p>
    <w:p w:rsidR="00053DAF" w:rsidRPr="005E67C5" w:rsidRDefault="00053DAF" w:rsidP="0040232C">
      <w:pPr>
        <w:spacing w:line="276" w:lineRule="auto"/>
        <w:rPr>
          <w:b/>
          <w:noProof/>
          <w:szCs w:val="22"/>
        </w:rPr>
      </w:pPr>
    </w:p>
    <w:p w:rsidR="005254C5" w:rsidRPr="005E67C5" w:rsidRDefault="005254C5" w:rsidP="0040232C">
      <w:pPr>
        <w:spacing w:line="276" w:lineRule="auto"/>
        <w:rPr>
          <w:b/>
          <w:noProof/>
          <w:szCs w:val="22"/>
        </w:rPr>
      </w:pPr>
    </w:p>
    <w:p w:rsidR="003D595C" w:rsidRPr="005E67C5" w:rsidRDefault="003D595C" w:rsidP="0040232C">
      <w:pPr>
        <w:spacing w:line="276" w:lineRule="auto"/>
        <w:rPr>
          <w:b/>
          <w:noProof/>
          <w:szCs w:val="22"/>
        </w:rPr>
      </w:pPr>
    </w:p>
    <w:p w:rsidR="003D595C" w:rsidRPr="005E67C5" w:rsidRDefault="003D595C" w:rsidP="0040232C">
      <w:pPr>
        <w:spacing w:line="276" w:lineRule="auto"/>
        <w:rPr>
          <w:b/>
          <w:noProof/>
          <w:szCs w:val="22"/>
        </w:rPr>
      </w:pPr>
    </w:p>
    <w:p w:rsidR="003D595C" w:rsidRPr="005E67C5" w:rsidRDefault="003D595C" w:rsidP="0040232C">
      <w:pPr>
        <w:spacing w:line="276" w:lineRule="auto"/>
        <w:rPr>
          <w:b/>
          <w:noProof/>
          <w:szCs w:val="22"/>
        </w:rPr>
      </w:pPr>
    </w:p>
    <w:p w:rsidR="003D595C" w:rsidRPr="005E67C5" w:rsidRDefault="003D595C" w:rsidP="0040232C">
      <w:pPr>
        <w:spacing w:line="276" w:lineRule="auto"/>
        <w:rPr>
          <w:b/>
          <w:noProof/>
          <w:szCs w:val="22"/>
        </w:rPr>
      </w:pPr>
    </w:p>
    <w:p w:rsidR="004A31DE" w:rsidRPr="005E67C5" w:rsidRDefault="004A31DE" w:rsidP="0040232C">
      <w:pPr>
        <w:spacing w:line="276" w:lineRule="auto"/>
        <w:rPr>
          <w:b/>
          <w:noProof/>
          <w:szCs w:val="22"/>
        </w:rPr>
      </w:pPr>
    </w:p>
    <w:p w:rsidR="004F1124" w:rsidRPr="005E67C5" w:rsidRDefault="004F1124" w:rsidP="0040232C">
      <w:pPr>
        <w:spacing w:line="276" w:lineRule="auto"/>
        <w:rPr>
          <w:b/>
          <w:noProof/>
          <w:szCs w:val="22"/>
        </w:rPr>
      </w:pPr>
    </w:p>
    <w:p w:rsidR="00D51C1D" w:rsidRDefault="00D51C1D" w:rsidP="0040232C">
      <w:pPr>
        <w:spacing w:line="276" w:lineRule="auto"/>
        <w:rPr>
          <w:rFonts w:cs="Arial"/>
          <w:szCs w:val="22"/>
        </w:rPr>
      </w:pPr>
    </w:p>
    <w:p w:rsidR="00582533" w:rsidRPr="0040232C" w:rsidRDefault="005129C0" w:rsidP="0040232C">
      <w:pPr>
        <w:spacing w:line="276" w:lineRule="auto"/>
        <w:rPr>
          <w:b/>
          <w:noProof/>
          <w:szCs w:val="22"/>
        </w:rPr>
      </w:pPr>
      <w:r>
        <w:lastRenderedPageBreak/>
        <w:t>The following highrise projects now in progress demonstrate the versatility of automatic climbing formwork systems and protection screens from Doka.</w:t>
      </w:r>
    </w:p>
    <w:p w:rsidR="00B0026D" w:rsidRDefault="00B0026D" w:rsidP="00034099">
      <w:pPr>
        <w:rPr>
          <w:rFonts w:cs="Arial"/>
          <w:sz w:val="20"/>
          <w:szCs w:val="20"/>
        </w:rPr>
      </w:pPr>
    </w:p>
    <w:tbl>
      <w:tblPr>
        <w:tblW w:w="0" w:type="auto"/>
        <w:tblLook w:val="04A0"/>
      </w:tblPr>
      <w:tblGrid>
        <w:gridCol w:w="4146"/>
        <w:gridCol w:w="5424"/>
      </w:tblGrid>
      <w:tr w:rsidR="003A021D" w:rsidRPr="00DA6020" w:rsidTr="00B7588E">
        <w:tc>
          <w:tcPr>
            <w:tcW w:w="9570" w:type="dxa"/>
            <w:gridSpan w:val="2"/>
          </w:tcPr>
          <w:p w:rsidR="00AD2ABD" w:rsidRDefault="00AD2ABD" w:rsidP="00747C4B">
            <w:pPr>
              <w:spacing w:line="276" w:lineRule="auto"/>
              <w:rPr>
                <w:b/>
                <w:sz w:val="20"/>
                <w:szCs w:val="16"/>
              </w:rPr>
            </w:pPr>
          </w:p>
          <w:p w:rsidR="003A021D" w:rsidRPr="0028169D" w:rsidRDefault="003A021D" w:rsidP="00747C4B">
            <w:pPr>
              <w:spacing w:line="276" w:lineRule="auto"/>
              <w:rPr>
                <w:b/>
                <w:sz w:val="20"/>
                <w:szCs w:val="16"/>
              </w:rPr>
            </w:pPr>
            <w:r>
              <w:rPr>
                <w:b/>
                <w:sz w:val="20"/>
                <w:szCs w:val="16"/>
              </w:rPr>
              <w:t>Photos:</w:t>
            </w:r>
          </w:p>
          <w:p w:rsidR="00D429B3" w:rsidRDefault="00D429B3" w:rsidP="00747C4B">
            <w:pPr>
              <w:rPr>
                <w:sz w:val="20"/>
                <w:szCs w:val="16"/>
              </w:rPr>
            </w:pPr>
          </w:p>
          <w:p w:rsidR="003A021D" w:rsidRPr="00BB0343" w:rsidRDefault="003A021D" w:rsidP="00747C4B">
            <w:pPr>
              <w:rPr>
                <w:rFonts w:cs="Arial"/>
                <w:szCs w:val="20"/>
              </w:rPr>
            </w:pPr>
            <w:r>
              <w:t>Please include details of copyright for publication.</w:t>
            </w:r>
          </w:p>
          <w:p w:rsidR="003A021D" w:rsidRPr="004C4EAE" w:rsidRDefault="003A021D" w:rsidP="00747C4B">
            <w:pPr>
              <w:spacing w:line="276" w:lineRule="auto"/>
              <w:rPr>
                <w:sz w:val="16"/>
                <w:szCs w:val="16"/>
              </w:rPr>
            </w:pPr>
          </w:p>
        </w:tc>
      </w:tr>
      <w:tr w:rsidR="003A021D" w:rsidRPr="00693B3D" w:rsidTr="00B7588E">
        <w:trPr>
          <w:trHeight w:val="1987"/>
        </w:trPr>
        <w:tc>
          <w:tcPr>
            <w:tcW w:w="4146" w:type="dxa"/>
          </w:tcPr>
          <w:p w:rsidR="00A25703" w:rsidRPr="00D429B3" w:rsidRDefault="00691F90" w:rsidP="003D45EF">
            <w:pPr>
              <w:spacing w:line="276" w:lineRule="auto"/>
              <w:rPr>
                <w:sz w:val="16"/>
                <w:szCs w:val="16"/>
              </w:rPr>
            </w:pPr>
            <w:r>
              <w:rPr>
                <w:noProof/>
                <w:sz w:val="16"/>
                <w:szCs w:val="16"/>
                <w:lang w:val="en-US"/>
              </w:rPr>
              <w:drawing>
                <wp:inline distT="0" distB="0" distL="0" distR="0">
                  <wp:extent cx="1539227" cy="2304000"/>
                  <wp:effectExtent l="19050" t="0" r="3823" b="0"/>
                  <wp:docPr id="6" name="Bild 1" descr="K:\Public_Relations_and_Communications\Media_Relations\Medienarbeit\2018\Presseinformationen\2018_3 Highrise (1.000+)\Auswahl Fotos\Word\Omnitu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3 Highrise (1.000+)\Auswahl Fotos\Word\Omniturm.jpg"/>
                          <pic:cNvPicPr>
                            <a:picLocks noChangeAspect="1" noChangeArrowheads="1"/>
                          </pic:cNvPicPr>
                        </pic:nvPicPr>
                        <pic:blipFill>
                          <a:blip r:embed="rId8" cstate="print"/>
                          <a:srcRect/>
                          <a:stretch>
                            <a:fillRect/>
                          </a:stretch>
                        </pic:blipFill>
                        <pic:spPr bwMode="auto">
                          <a:xfrm>
                            <a:off x="0" y="0"/>
                            <a:ext cx="1539227" cy="2304000"/>
                          </a:xfrm>
                          <a:prstGeom prst="rect">
                            <a:avLst/>
                          </a:prstGeom>
                          <a:noFill/>
                          <a:ln w="9525">
                            <a:noFill/>
                            <a:miter lim="800000"/>
                            <a:headEnd/>
                            <a:tailEnd/>
                          </a:ln>
                        </pic:spPr>
                      </pic:pic>
                    </a:graphicData>
                  </a:graphic>
                </wp:inline>
              </w:drawing>
            </w:r>
          </w:p>
        </w:tc>
        <w:tc>
          <w:tcPr>
            <w:tcW w:w="5424" w:type="dxa"/>
          </w:tcPr>
          <w:p w:rsidR="00D41185" w:rsidRDefault="00D41185" w:rsidP="00747C4B">
            <w:pPr>
              <w:spacing w:line="276" w:lineRule="auto"/>
              <w:rPr>
                <w:sz w:val="16"/>
                <w:szCs w:val="16"/>
              </w:rPr>
            </w:pPr>
          </w:p>
          <w:p w:rsidR="00500331" w:rsidRDefault="008D77BC" w:rsidP="00E85A51">
            <w:pPr>
              <w:spacing w:line="276" w:lineRule="auto"/>
              <w:rPr>
                <w:sz w:val="20"/>
                <w:szCs w:val="16"/>
              </w:rPr>
            </w:pPr>
            <w:r>
              <w:rPr>
                <w:sz w:val="20"/>
                <w:szCs w:val="16"/>
              </w:rPr>
              <w:t>Topping out at approximately 190 metres, the OMNITURM will be the sixth tallest building in Frankfurt and also Germany's first truly mixed-use highrise. It will offer office, residential and public spaces.</w:t>
            </w:r>
          </w:p>
          <w:p w:rsidR="003D4B66" w:rsidRPr="00BB7668" w:rsidRDefault="003D4B66" w:rsidP="00747C4B">
            <w:pPr>
              <w:spacing w:line="276" w:lineRule="auto"/>
              <w:rPr>
                <w:sz w:val="20"/>
                <w:szCs w:val="16"/>
              </w:rPr>
            </w:pPr>
          </w:p>
          <w:p w:rsidR="003A021D" w:rsidRPr="00BB6621" w:rsidRDefault="00D52E92" w:rsidP="00747C4B">
            <w:pPr>
              <w:spacing w:line="276" w:lineRule="auto"/>
              <w:rPr>
                <w:sz w:val="20"/>
                <w:szCs w:val="16"/>
              </w:rPr>
            </w:pPr>
            <w:r>
              <w:rPr>
                <w:sz w:val="20"/>
                <w:szCs w:val="16"/>
              </w:rPr>
              <w:t xml:space="preserve">Photo: </w:t>
            </w:r>
            <w:r w:rsidR="00500331">
              <w:rPr>
                <w:sz w:val="20"/>
                <w:szCs w:val="16"/>
              </w:rPr>
              <w:t>OMNITURM.jpg</w:t>
            </w:r>
          </w:p>
          <w:p w:rsidR="008440A1" w:rsidRPr="00BB6621" w:rsidRDefault="003A021D" w:rsidP="00747C4B">
            <w:pPr>
              <w:spacing w:line="276" w:lineRule="auto"/>
              <w:rPr>
                <w:sz w:val="20"/>
                <w:szCs w:val="16"/>
              </w:rPr>
            </w:pPr>
            <w:r>
              <w:rPr>
                <w:sz w:val="20"/>
                <w:szCs w:val="16"/>
              </w:rPr>
              <w:t>Copyright: Doka</w:t>
            </w:r>
          </w:p>
        </w:tc>
      </w:tr>
      <w:tr w:rsidR="003A021D" w:rsidRPr="00BB6621" w:rsidTr="00B7588E">
        <w:tc>
          <w:tcPr>
            <w:tcW w:w="4146" w:type="dxa"/>
          </w:tcPr>
          <w:p w:rsidR="003A021D" w:rsidRDefault="00BA20A2" w:rsidP="00747C4B">
            <w:pPr>
              <w:spacing w:line="276" w:lineRule="auto"/>
              <w:rPr>
                <w:sz w:val="16"/>
                <w:szCs w:val="16"/>
              </w:rPr>
            </w:pPr>
            <w:r>
              <w:rPr>
                <w:noProof/>
                <w:sz w:val="16"/>
                <w:szCs w:val="16"/>
                <w:lang w:val="en-US"/>
              </w:rPr>
              <w:drawing>
                <wp:inline distT="0" distB="0" distL="0" distR="0">
                  <wp:extent cx="2469600" cy="1764000"/>
                  <wp:effectExtent l="19050" t="0" r="6900" b="0"/>
                  <wp:docPr id="3" name="Bild 2" descr="K:\Public_Relations_and_Communications\Media_Relations\Medienarbeit\2018\Presseinformationen\2018_3 Highrise (1.000+)\Auswahl Fotos\Word\Swissotel_Do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3 Highrise (1.000+)\Auswahl Fotos\Word\Swissotel_Doka.jpg"/>
                          <pic:cNvPicPr>
                            <a:picLocks noChangeAspect="1" noChangeArrowheads="1"/>
                          </pic:cNvPicPr>
                        </pic:nvPicPr>
                        <pic:blipFill>
                          <a:blip r:embed="rId9" cstate="print"/>
                          <a:srcRect/>
                          <a:stretch>
                            <a:fillRect/>
                          </a:stretch>
                        </pic:blipFill>
                        <pic:spPr bwMode="auto">
                          <a:xfrm>
                            <a:off x="0" y="0"/>
                            <a:ext cx="2469600" cy="1764000"/>
                          </a:xfrm>
                          <a:prstGeom prst="rect">
                            <a:avLst/>
                          </a:prstGeom>
                          <a:noFill/>
                          <a:ln w="9525">
                            <a:noFill/>
                            <a:miter lim="800000"/>
                            <a:headEnd/>
                            <a:tailEnd/>
                          </a:ln>
                        </pic:spPr>
                      </pic:pic>
                    </a:graphicData>
                  </a:graphic>
                </wp:inline>
              </w:drawing>
            </w:r>
          </w:p>
        </w:tc>
        <w:tc>
          <w:tcPr>
            <w:tcW w:w="5424" w:type="dxa"/>
          </w:tcPr>
          <w:p w:rsidR="008C0D53" w:rsidRDefault="008C0D53" w:rsidP="000D7B0A">
            <w:pPr>
              <w:rPr>
                <w:sz w:val="16"/>
                <w:szCs w:val="16"/>
              </w:rPr>
            </w:pPr>
          </w:p>
          <w:p w:rsidR="00BA02CF" w:rsidRPr="00BB6621" w:rsidRDefault="009F6F08" w:rsidP="000D7B0A">
            <w:pPr>
              <w:rPr>
                <w:sz w:val="20"/>
              </w:rPr>
            </w:pPr>
            <w:r>
              <w:rPr>
                <w:sz w:val="20"/>
              </w:rPr>
              <w:t xml:space="preserve">At 213 metres, the Swissotel will be one of the tallest structures in Istanbul, Turkey. The new hotel building will house luxury residences and its very own shopping centre. </w:t>
            </w:r>
          </w:p>
          <w:p w:rsidR="00BA02CF" w:rsidRPr="00BB6621" w:rsidRDefault="00BA02CF" w:rsidP="000D7B0A">
            <w:pPr>
              <w:rPr>
                <w:sz w:val="20"/>
              </w:rPr>
            </w:pPr>
          </w:p>
          <w:p w:rsidR="000D7B0A" w:rsidRPr="00BB6621" w:rsidRDefault="000D7B0A" w:rsidP="000D7B0A">
            <w:pPr>
              <w:rPr>
                <w:sz w:val="20"/>
              </w:rPr>
            </w:pPr>
            <w:r>
              <w:rPr>
                <w:sz w:val="20"/>
              </w:rPr>
              <w:t>Photo: Swissotell.jpg</w:t>
            </w:r>
          </w:p>
          <w:p w:rsidR="003A021D" w:rsidRPr="00BB6621" w:rsidRDefault="000D7B0A" w:rsidP="008C0D53">
            <w:pPr>
              <w:rPr>
                <w:sz w:val="16"/>
              </w:rPr>
            </w:pPr>
            <w:r>
              <w:rPr>
                <w:sz w:val="20"/>
              </w:rPr>
              <w:t>Copyright: Doka</w:t>
            </w:r>
          </w:p>
        </w:tc>
      </w:tr>
      <w:tr w:rsidR="000D7B0A" w:rsidRPr="005E67C5" w:rsidTr="00C30799">
        <w:trPr>
          <w:trHeight w:val="2793"/>
        </w:trPr>
        <w:tc>
          <w:tcPr>
            <w:tcW w:w="4146" w:type="dxa"/>
          </w:tcPr>
          <w:p w:rsidR="00D429B3" w:rsidRPr="0005543A" w:rsidRDefault="003E214F" w:rsidP="006D73B9">
            <w:pPr>
              <w:spacing w:line="276" w:lineRule="auto"/>
              <w:rPr>
                <w:noProof/>
                <w:sz w:val="16"/>
                <w:szCs w:val="16"/>
              </w:rPr>
            </w:pPr>
            <w:r>
              <w:rPr>
                <w:noProof/>
                <w:sz w:val="16"/>
                <w:szCs w:val="16"/>
                <w:lang w:val="en-US"/>
              </w:rPr>
              <w:drawing>
                <wp:inline distT="0" distB="0" distL="0" distR="0">
                  <wp:extent cx="2471058" cy="1764000"/>
                  <wp:effectExtent l="19050" t="0" r="5442" b="0"/>
                  <wp:docPr id="11" name="Bild 4" descr="K:\Public_Relations_and_Communications\Media_Relations\Medienarbeit\2018\Presseinformationen\2018_3 Highrise (1.000+)\Auswahl Fotos\Word\Sky P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Public_Relations_and_Communications\Media_Relations\Medienarbeit\2018\Presseinformationen\2018_3 Highrise (1.000+)\Auswahl Fotos\Word\Sky Park.jpg"/>
                          <pic:cNvPicPr>
                            <a:picLocks noChangeAspect="1" noChangeArrowheads="1"/>
                          </pic:cNvPicPr>
                        </pic:nvPicPr>
                        <pic:blipFill>
                          <a:blip r:embed="rId10" cstate="print"/>
                          <a:srcRect/>
                          <a:stretch>
                            <a:fillRect/>
                          </a:stretch>
                        </pic:blipFill>
                        <pic:spPr bwMode="auto">
                          <a:xfrm>
                            <a:off x="0" y="0"/>
                            <a:ext cx="2471058" cy="1764000"/>
                          </a:xfrm>
                          <a:prstGeom prst="rect">
                            <a:avLst/>
                          </a:prstGeom>
                          <a:noFill/>
                          <a:ln w="9525">
                            <a:noFill/>
                            <a:miter lim="800000"/>
                            <a:headEnd/>
                            <a:tailEnd/>
                          </a:ln>
                        </pic:spPr>
                      </pic:pic>
                    </a:graphicData>
                  </a:graphic>
                </wp:inline>
              </w:drawing>
            </w:r>
          </w:p>
        </w:tc>
        <w:tc>
          <w:tcPr>
            <w:tcW w:w="5424" w:type="dxa"/>
          </w:tcPr>
          <w:p w:rsidR="000D7B0A" w:rsidRPr="00BB6621" w:rsidRDefault="000D7B0A" w:rsidP="00747C4B">
            <w:pPr>
              <w:spacing w:line="276" w:lineRule="auto"/>
              <w:rPr>
                <w:sz w:val="16"/>
                <w:szCs w:val="16"/>
              </w:rPr>
            </w:pPr>
          </w:p>
          <w:p w:rsidR="003D4B66" w:rsidRDefault="005E7010" w:rsidP="00747C4B">
            <w:pPr>
              <w:spacing w:line="276" w:lineRule="auto"/>
              <w:rPr>
                <w:sz w:val="20"/>
                <w:szCs w:val="16"/>
              </w:rPr>
            </w:pPr>
            <w:r>
              <w:rPr>
                <w:sz w:val="20"/>
                <w:szCs w:val="16"/>
              </w:rPr>
              <w:t xml:space="preserve">The design drafted by Zaha Hadid Architects for a 5.5 hectare site in Bratislava, Slovakia, will transform abandoned ground in a former industrial zone into a 20,000 m² park and mixed-use centre. </w:t>
            </w:r>
          </w:p>
          <w:p w:rsidR="00390A5E" w:rsidRPr="00BB6621" w:rsidRDefault="00390A5E" w:rsidP="00747C4B">
            <w:pPr>
              <w:spacing w:line="276" w:lineRule="auto"/>
              <w:rPr>
                <w:sz w:val="20"/>
                <w:szCs w:val="16"/>
              </w:rPr>
            </w:pPr>
          </w:p>
          <w:p w:rsidR="003C37F4" w:rsidRPr="00BB7668" w:rsidRDefault="00EB04F6" w:rsidP="00747C4B">
            <w:pPr>
              <w:spacing w:line="276" w:lineRule="auto"/>
              <w:rPr>
                <w:bCs/>
                <w:color w:val="auto"/>
                <w:sz w:val="20"/>
                <w:szCs w:val="16"/>
              </w:rPr>
            </w:pPr>
            <w:r>
              <w:rPr>
                <w:sz w:val="20"/>
                <w:szCs w:val="16"/>
              </w:rPr>
              <w:t>Photo: Sky Park.jpg</w:t>
            </w:r>
          </w:p>
          <w:p w:rsidR="00390A5E" w:rsidRPr="00E7568D" w:rsidRDefault="00EB04F6" w:rsidP="00747C4B">
            <w:pPr>
              <w:spacing w:line="276" w:lineRule="auto"/>
              <w:rPr>
                <w:sz w:val="20"/>
                <w:szCs w:val="16"/>
              </w:rPr>
            </w:pPr>
            <w:r>
              <w:rPr>
                <w:sz w:val="20"/>
                <w:szCs w:val="16"/>
              </w:rPr>
              <w:t>Copyright: Doka</w:t>
            </w:r>
          </w:p>
        </w:tc>
      </w:tr>
      <w:tr w:rsidR="00FC2542" w:rsidRPr="005E67C5" w:rsidTr="00B7588E">
        <w:tc>
          <w:tcPr>
            <w:tcW w:w="4146" w:type="dxa"/>
          </w:tcPr>
          <w:p w:rsidR="00994A9D" w:rsidRPr="00B7588E" w:rsidRDefault="003340A2" w:rsidP="00747C4B">
            <w:pPr>
              <w:spacing w:line="276" w:lineRule="auto"/>
              <w:rPr>
                <w:sz w:val="16"/>
                <w:szCs w:val="16"/>
              </w:rPr>
            </w:pPr>
            <w:r>
              <w:rPr>
                <w:noProof/>
                <w:sz w:val="16"/>
                <w:szCs w:val="16"/>
                <w:lang w:val="en-US"/>
              </w:rPr>
              <w:lastRenderedPageBreak/>
              <w:drawing>
                <wp:inline distT="0" distB="0" distL="0" distR="0">
                  <wp:extent cx="1527086" cy="1836000"/>
                  <wp:effectExtent l="19050" t="0" r="0" b="0"/>
                  <wp:docPr id="10" name="Bild 3" descr="K:\Public_Relations_and_Communications\Media_Relations\Medienarbeit\2018\Presseinformationen\2018_3 Highrise (1.000+)\Auswahl Fotos\Word\Wood Wha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Public_Relations_and_Communications\Media_Relations\Medienarbeit\2018\Presseinformationen\2018_3 Highrise (1.000+)\Auswahl Fotos\Word\Wood Wharf.jpg"/>
                          <pic:cNvPicPr>
                            <a:picLocks noChangeAspect="1" noChangeArrowheads="1"/>
                          </pic:cNvPicPr>
                        </pic:nvPicPr>
                        <pic:blipFill>
                          <a:blip r:embed="rId11" cstate="print"/>
                          <a:srcRect/>
                          <a:stretch>
                            <a:fillRect/>
                          </a:stretch>
                        </pic:blipFill>
                        <pic:spPr bwMode="auto">
                          <a:xfrm>
                            <a:off x="0" y="0"/>
                            <a:ext cx="1527086" cy="1836000"/>
                          </a:xfrm>
                          <a:prstGeom prst="rect">
                            <a:avLst/>
                          </a:prstGeom>
                          <a:noFill/>
                          <a:ln w="9525">
                            <a:noFill/>
                            <a:miter lim="800000"/>
                            <a:headEnd/>
                            <a:tailEnd/>
                          </a:ln>
                        </pic:spPr>
                      </pic:pic>
                    </a:graphicData>
                  </a:graphic>
                </wp:inline>
              </w:drawing>
            </w:r>
          </w:p>
        </w:tc>
        <w:tc>
          <w:tcPr>
            <w:tcW w:w="5424" w:type="dxa"/>
          </w:tcPr>
          <w:p w:rsidR="008E35E0" w:rsidRPr="00B7588E" w:rsidRDefault="008E35E0" w:rsidP="00C35E5B">
            <w:pPr>
              <w:spacing w:line="276" w:lineRule="auto"/>
              <w:rPr>
                <w:sz w:val="20"/>
                <w:szCs w:val="16"/>
                <w:lang w:val="en-US"/>
              </w:rPr>
            </w:pPr>
          </w:p>
          <w:p w:rsidR="00BA02CF" w:rsidRPr="005B0CFA" w:rsidRDefault="005B0CFA" w:rsidP="008E35E0">
            <w:pPr>
              <w:rPr>
                <w:sz w:val="20"/>
              </w:rPr>
            </w:pPr>
            <w:r>
              <w:rPr>
                <w:sz w:val="20"/>
              </w:rPr>
              <w:t>Wood Wharf is adjacent to Canary Wharf and it was designed to create more than 3300 residential units in the centre of London, England.</w:t>
            </w:r>
            <w:r>
              <w:t xml:space="preserve"> </w:t>
            </w:r>
            <w:r>
              <w:rPr>
                <w:sz w:val="20"/>
              </w:rPr>
              <w:t>Building A2 stands 14 storeys high. Building A3 will have 44 CIP concrete floor slabs. In all, A2 and A3 will require 5600 metric tons of steel reinforcement, 31,000 m² of concrete and 65,200 m² of slab formwork.</w:t>
            </w:r>
          </w:p>
          <w:p w:rsidR="003D4B66" w:rsidRPr="005B0CFA" w:rsidRDefault="003D4B66" w:rsidP="008E35E0">
            <w:pPr>
              <w:rPr>
                <w:sz w:val="20"/>
              </w:rPr>
            </w:pPr>
          </w:p>
          <w:p w:rsidR="008E35E0" w:rsidRPr="00BA02CF" w:rsidRDefault="008E35E0" w:rsidP="008E35E0">
            <w:pPr>
              <w:rPr>
                <w:sz w:val="20"/>
              </w:rPr>
            </w:pPr>
            <w:r>
              <w:rPr>
                <w:sz w:val="20"/>
              </w:rPr>
              <w:t>Photo: Wood Wharf.jpg</w:t>
            </w:r>
          </w:p>
          <w:p w:rsidR="008E35E0" w:rsidRPr="00BA02CF" w:rsidRDefault="008E35E0" w:rsidP="008E35E0">
            <w:pPr>
              <w:spacing w:line="276" w:lineRule="auto"/>
              <w:rPr>
                <w:sz w:val="16"/>
                <w:szCs w:val="16"/>
              </w:rPr>
            </w:pPr>
            <w:r>
              <w:rPr>
                <w:sz w:val="20"/>
              </w:rPr>
              <w:t>Copyright: Doka</w:t>
            </w:r>
          </w:p>
        </w:tc>
      </w:tr>
      <w:tr w:rsidR="003A021D" w:rsidRPr="005E67C5" w:rsidTr="00B7588E">
        <w:tc>
          <w:tcPr>
            <w:tcW w:w="4146" w:type="dxa"/>
          </w:tcPr>
          <w:p w:rsidR="003A021D" w:rsidRPr="00BA02CF" w:rsidRDefault="00B7588E" w:rsidP="00B7588E">
            <w:pPr>
              <w:spacing w:line="276" w:lineRule="auto"/>
              <w:rPr>
                <w:noProof/>
                <w:sz w:val="16"/>
                <w:szCs w:val="16"/>
              </w:rPr>
            </w:pPr>
            <w:r>
              <w:rPr>
                <w:noProof/>
                <w:sz w:val="16"/>
                <w:szCs w:val="16"/>
                <w:lang w:val="en-US"/>
              </w:rPr>
              <w:drawing>
                <wp:inline distT="0" distB="0" distL="0" distR="0">
                  <wp:extent cx="2469600" cy="1764000"/>
                  <wp:effectExtent l="19050" t="0" r="6900" b="0"/>
                  <wp:docPr id="4" name="Bild 3" descr="K:\Public_Relations_and_Communications\Media_Relations\Medienarbeit\2018\Presseinformationen\2018_3 Highrise (1.000+)\Auswahl Fotos\Word\Dominion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Public_Relations_and_Communications\Media_Relations\Medienarbeit\2018\Presseinformationen\2018_3 Highrise (1.000+)\Auswahl Fotos\Word\Dominion Tower.jpg"/>
                          <pic:cNvPicPr>
                            <a:picLocks noChangeAspect="1" noChangeArrowheads="1"/>
                          </pic:cNvPicPr>
                        </pic:nvPicPr>
                        <pic:blipFill>
                          <a:blip r:embed="rId12" cstate="print"/>
                          <a:srcRect/>
                          <a:stretch>
                            <a:fillRect/>
                          </a:stretch>
                        </pic:blipFill>
                        <pic:spPr bwMode="auto">
                          <a:xfrm>
                            <a:off x="0" y="0"/>
                            <a:ext cx="2469600" cy="1764000"/>
                          </a:xfrm>
                          <a:prstGeom prst="rect">
                            <a:avLst/>
                          </a:prstGeom>
                          <a:noFill/>
                          <a:ln w="9525">
                            <a:noFill/>
                            <a:miter lim="800000"/>
                            <a:headEnd/>
                            <a:tailEnd/>
                          </a:ln>
                        </pic:spPr>
                      </pic:pic>
                    </a:graphicData>
                  </a:graphic>
                </wp:inline>
              </w:drawing>
            </w:r>
          </w:p>
        </w:tc>
        <w:tc>
          <w:tcPr>
            <w:tcW w:w="5424" w:type="dxa"/>
          </w:tcPr>
          <w:p w:rsidR="003A021D" w:rsidRPr="00BA02CF" w:rsidRDefault="003A021D" w:rsidP="00747C4B">
            <w:pPr>
              <w:spacing w:line="276" w:lineRule="auto"/>
              <w:rPr>
                <w:sz w:val="20"/>
                <w:szCs w:val="16"/>
                <w:lang w:val="en-US"/>
              </w:rPr>
            </w:pPr>
          </w:p>
          <w:p w:rsidR="00A85989" w:rsidRPr="006B026E" w:rsidRDefault="006B026E" w:rsidP="00573B10">
            <w:pPr>
              <w:spacing w:line="276" w:lineRule="auto"/>
              <w:rPr>
                <w:bCs/>
                <w:sz w:val="20"/>
                <w:szCs w:val="16"/>
              </w:rPr>
            </w:pPr>
            <w:r>
              <w:rPr>
                <w:bCs/>
                <w:sz w:val="20"/>
                <w:szCs w:val="16"/>
              </w:rPr>
              <w:t>The 127-metre tall Dominion Workplace will be a proud addition to the skyline of Richmond, Virginia, USA. When completed in 2019, the highrise will accommodate the headquarters of the Dominion Energy power utility.</w:t>
            </w:r>
          </w:p>
          <w:p w:rsidR="00573B10" w:rsidRPr="00CF398D" w:rsidRDefault="00573B10" w:rsidP="00573B10">
            <w:pPr>
              <w:spacing w:line="276" w:lineRule="auto"/>
              <w:rPr>
                <w:bCs/>
                <w:sz w:val="20"/>
                <w:szCs w:val="16"/>
              </w:rPr>
            </w:pPr>
          </w:p>
          <w:p w:rsidR="00747C4B" w:rsidRPr="00BB7668" w:rsidRDefault="00747C4B" w:rsidP="00747C4B">
            <w:pPr>
              <w:spacing w:line="276" w:lineRule="auto"/>
              <w:rPr>
                <w:sz w:val="20"/>
                <w:szCs w:val="16"/>
              </w:rPr>
            </w:pPr>
            <w:r>
              <w:rPr>
                <w:sz w:val="20"/>
                <w:szCs w:val="16"/>
              </w:rPr>
              <w:t>Photo: Dominion Workplace.jpg</w:t>
            </w:r>
          </w:p>
          <w:p w:rsidR="003A021D" w:rsidRPr="00BB7668" w:rsidRDefault="00D429B3" w:rsidP="00747C4B">
            <w:pPr>
              <w:spacing w:line="276" w:lineRule="auto"/>
              <w:rPr>
                <w:sz w:val="20"/>
                <w:szCs w:val="16"/>
              </w:rPr>
            </w:pPr>
            <w:r>
              <w:rPr>
                <w:sz w:val="20"/>
                <w:szCs w:val="16"/>
              </w:rPr>
              <w:t>Copyright: Doka</w:t>
            </w:r>
          </w:p>
        </w:tc>
      </w:tr>
      <w:tr w:rsidR="00244453" w:rsidRPr="005E67C5" w:rsidTr="00B7588E">
        <w:tc>
          <w:tcPr>
            <w:tcW w:w="4146" w:type="dxa"/>
          </w:tcPr>
          <w:p w:rsidR="00BF381F" w:rsidRPr="00235DB4" w:rsidRDefault="00E47FBC" w:rsidP="00747C4B">
            <w:pPr>
              <w:spacing w:line="276" w:lineRule="auto"/>
              <w:rPr>
                <w:noProof/>
                <w:sz w:val="16"/>
                <w:szCs w:val="16"/>
              </w:rPr>
            </w:pPr>
            <w:r>
              <w:rPr>
                <w:noProof/>
                <w:sz w:val="16"/>
                <w:szCs w:val="16"/>
                <w:lang w:val="en-US"/>
              </w:rPr>
              <w:drawing>
                <wp:inline distT="0" distB="0" distL="0" distR="0">
                  <wp:extent cx="1490626" cy="2088000"/>
                  <wp:effectExtent l="19050" t="0" r="0" b="0"/>
                  <wp:docPr id="5" name="Bild 1" descr="K:\Public_Relations_and_Communications\Media_Relations\Medienarbeit\2018\Presseinformationen\2018_3 Highrise (1.000+)\Auswahl Fotos\Word\Aurora Melbourne Cent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3 Highrise (1.000+)\Auswahl Fotos\Word\Aurora Melbourne Central.jpg"/>
                          <pic:cNvPicPr>
                            <a:picLocks noChangeAspect="1" noChangeArrowheads="1"/>
                          </pic:cNvPicPr>
                        </pic:nvPicPr>
                        <pic:blipFill>
                          <a:blip r:embed="rId13" cstate="print"/>
                          <a:srcRect/>
                          <a:stretch>
                            <a:fillRect/>
                          </a:stretch>
                        </pic:blipFill>
                        <pic:spPr bwMode="auto">
                          <a:xfrm>
                            <a:off x="0" y="0"/>
                            <a:ext cx="1490626" cy="2088000"/>
                          </a:xfrm>
                          <a:prstGeom prst="rect">
                            <a:avLst/>
                          </a:prstGeom>
                          <a:noFill/>
                          <a:ln w="9525">
                            <a:noFill/>
                            <a:miter lim="800000"/>
                            <a:headEnd/>
                            <a:tailEnd/>
                          </a:ln>
                        </pic:spPr>
                      </pic:pic>
                    </a:graphicData>
                  </a:graphic>
                </wp:inline>
              </w:drawing>
            </w:r>
          </w:p>
        </w:tc>
        <w:tc>
          <w:tcPr>
            <w:tcW w:w="5424" w:type="dxa"/>
          </w:tcPr>
          <w:p w:rsidR="00385AA2" w:rsidRPr="00B7588E" w:rsidRDefault="00385AA2" w:rsidP="00385AA2">
            <w:pPr>
              <w:spacing w:line="276" w:lineRule="auto"/>
              <w:rPr>
                <w:sz w:val="20"/>
                <w:szCs w:val="16"/>
                <w:lang w:val="en-US"/>
              </w:rPr>
            </w:pPr>
          </w:p>
          <w:p w:rsidR="00244453" w:rsidRPr="00B03511" w:rsidRDefault="00B03511" w:rsidP="00385AA2">
            <w:pPr>
              <w:spacing w:line="276" w:lineRule="auto"/>
              <w:rPr>
                <w:sz w:val="20"/>
                <w:szCs w:val="16"/>
              </w:rPr>
            </w:pPr>
            <w:r>
              <w:rPr>
                <w:sz w:val="20"/>
                <w:szCs w:val="16"/>
              </w:rPr>
              <w:t>The Aurora Melbourne Central in La Trobe Street will be the tallest building in the city centre of Melbourne, Australia and it will also be the only residential complex to have its own direct access to the underground City Loop light urban railway. The residential highrise will have 92 storeys and soar more than 271 metres into the sky above Melbourne.</w:t>
            </w:r>
          </w:p>
          <w:p w:rsidR="003D4B66" w:rsidRPr="00B03511" w:rsidRDefault="003D4B66" w:rsidP="00385AA2">
            <w:pPr>
              <w:spacing w:line="276" w:lineRule="auto"/>
              <w:rPr>
                <w:sz w:val="20"/>
                <w:szCs w:val="16"/>
              </w:rPr>
            </w:pPr>
          </w:p>
          <w:p w:rsidR="005438D2" w:rsidRPr="005438D2" w:rsidRDefault="00BF381F" w:rsidP="005438D2">
            <w:pPr>
              <w:spacing w:line="276" w:lineRule="auto"/>
              <w:rPr>
                <w:sz w:val="20"/>
                <w:szCs w:val="16"/>
              </w:rPr>
            </w:pPr>
            <w:r>
              <w:rPr>
                <w:sz w:val="20"/>
                <w:szCs w:val="16"/>
              </w:rPr>
              <w:t>Photo: Aurora Melbourne Central.jpg</w:t>
            </w:r>
          </w:p>
          <w:p w:rsidR="00385AA2" w:rsidRPr="00BB7668" w:rsidRDefault="00385AA2" w:rsidP="005438D2">
            <w:pPr>
              <w:spacing w:line="276" w:lineRule="auto"/>
              <w:rPr>
                <w:sz w:val="20"/>
                <w:szCs w:val="16"/>
              </w:rPr>
            </w:pPr>
            <w:r>
              <w:rPr>
                <w:sz w:val="20"/>
              </w:rPr>
              <w:t>Copyright: Doka</w:t>
            </w:r>
          </w:p>
        </w:tc>
      </w:tr>
    </w:tbl>
    <w:p w:rsidR="00AA6DCB" w:rsidRPr="00307B6F" w:rsidRDefault="00AA6DCB" w:rsidP="0052643C">
      <w:pPr>
        <w:rPr>
          <w:rFonts w:cs="Arial"/>
          <w:b/>
          <w:sz w:val="20"/>
          <w:szCs w:val="20"/>
          <w:lang w:val="en-US"/>
        </w:rPr>
      </w:pPr>
    </w:p>
    <w:p w:rsidR="00940311" w:rsidRPr="00F55A4E" w:rsidRDefault="00940311" w:rsidP="00940311">
      <w:pPr>
        <w:rPr>
          <w:b/>
          <w:sz w:val="20"/>
          <w:szCs w:val="20"/>
        </w:rPr>
      </w:pPr>
      <w:r>
        <w:rPr>
          <w:b/>
          <w:sz w:val="20"/>
          <w:szCs w:val="20"/>
        </w:rPr>
        <w:t>About Doka:</w:t>
      </w:r>
    </w:p>
    <w:p w:rsidR="00940311" w:rsidRPr="00A106EC" w:rsidRDefault="00940311" w:rsidP="0052643C">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facilities in over 70 countries, the Doka has a high-performing distribution network which ensures that equipment and technical support are provided swiftly and professionally. An enterprise forming part of the Umdasch Group, the Doka employs a worldwide workforce of 6,700.</w:t>
      </w:r>
    </w:p>
    <w:p w:rsidR="00940311" w:rsidRDefault="00940311" w:rsidP="0052643C">
      <w:pPr>
        <w:rPr>
          <w:rFonts w:cs="Arial"/>
          <w:b/>
          <w:sz w:val="20"/>
          <w:szCs w:val="20"/>
        </w:rPr>
      </w:pPr>
    </w:p>
    <w:p w:rsidR="0052643C" w:rsidRPr="008362C0" w:rsidRDefault="0052643C" w:rsidP="0052643C">
      <w:pPr>
        <w:rPr>
          <w:rFonts w:cs="Arial"/>
          <w:b/>
          <w:sz w:val="20"/>
          <w:szCs w:val="20"/>
        </w:rPr>
      </w:pPr>
      <w:r>
        <w:rPr>
          <w:b/>
          <w:sz w:val="20"/>
          <w:szCs w:val="20"/>
        </w:rPr>
        <w:t>Press contact</w:t>
      </w:r>
    </w:p>
    <w:p w:rsidR="0052643C" w:rsidRPr="008362C0" w:rsidRDefault="00713D23" w:rsidP="0052643C">
      <w:pPr>
        <w:rPr>
          <w:rFonts w:cs="Arial"/>
          <w:b/>
          <w:sz w:val="20"/>
          <w:szCs w:val="20"/>
        </w:rPr>
      </w:pPr>
      <w:r>
        <w:rPr>
          <w:b/>
          <w:sz w:val="20"/>
          <w:szCs w:val="20"/>
        </w:rPr>
        <w:t>Doka</w:t>
      </w:r>
    </w:p>
    <w:p w:rsidR="0052643C" w:rsidRPr="008362C0" w:rsidRDefault="0052643C" w:rsidP="0052643C">
      <w:pPr>
        <w:rPr>
          <w:rFonts w:cs="Arial"/>
          <w:bCs/>
          <w:sz w:val="20"/>
          <w:szCs w:val="20"/>
        </w:rPr>
      </w:pPr>
      <w:r>
        <w:rPr>
          <w:bCs/>
          <w:sz w:val="20"/>
          <w:szCs w:val="20"/>
        </w:rPr>
        <w:t>Michael Fuker</w:t>
      </w:r>
    </w:p>
    <w:p w:rsidR="0052643C" w:rsidRPr="008362C0" w:rsidRDefault="0052643C" w:rsidP="0052643C">
      <w:pPr>
        <w:rPr>
          <w:rFonts w:cs="Arial"/>
          <w:sz w:val="20"/>
          <w:szCs w:val="20"/>
        </w:rPr>
      </w:pPr>
      <w:r>
        <w:rPr>
          <w:sz w:val="20"/>
          <w:szCs w:val="20"/>
        </w:rPr>
        <w:t>Public Relations Manager</w:t>
      </w:r>
    </w:p>
    <w:p w:rsidR="0052643C" w:rsidRPr="008362C0" w:rsidRDefault="0052643C" w:rsidP="0052643C">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rsidR="006F525C" w:rsidRDefault="0052643C" w:rsidP="006F525C">
      <w:pPr>
        <w:rPr>
          <w:rFonts w:cs="Arial"/>
          <w:sz w:val="20"/>
          <w:szCs w:val="20"/>
        </w:rPr>
      </w:pPr>
      <w:r>
        <w:rPr>
          <w:sz w:val="20"/>
          <w:szCs w:val="20"/>
        </w:rPr>
        <w:t>press@doka.com</w:t>
      </w:r>
    </w:p>
    <w:sectPr w:rsidR="006F525C" w:rsidSect="001F4501">
      <w:headerReference w:type="default" r:id="rId14"/>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E92" w:rsidRDefault="00D52E92">
      <w:r>
        <w:separator/>
      </w:r>
    </w:p>
  </w:endnote>
  <w:endnote w:type="continuationSeparator" w:id="0">
    <w:p w:rsidR="00D52E92" w:rsidRDefault="00D52E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E92" w:rsidRDefault="00D52E92">
      <w:r>
        <w:separator/>
      </w:r>
    </w:p>
  </w:footnote>
  <w:footnote w:type="continuationSeparator" w:id="0">
    <w:p w:rsidR="00D52E92" w:rsidRDefault="00D52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E92" w:rsidRDefault="00D52E92" w:rsidP="008F2ADD">
    <w:pPr>
      <w:pStyle w:val="Kopfzeile"/>
      <w:tabs>
        <w:tab w:val="left" w:pos="269"/>
      </w:tabs>
    </w:pPr>
    <w:r>
      <w:rPr>
        <w:b/>
        <w:noProof/>
        <w:lang w:val="en-US"/>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August 2018</w:t>
    </w:r>
  </w:p>
  <w:p w:rsidR="00D52E92" w:rsidRDefault="00D52E92" w:rsidP="008F2ADD">
    <w:pPr>
      <w:pStyle w:val="Kopfzeile"/>
    </w:pPr>
  </w:p>
  <w:p w:rsidR="00D52E92" w:rsidRPr="00E43CB4" w:rsidRDefault="00D52E92" w:rsidP="008F2ADD">
    <w:pPr>
      <w:pStyle w:val="Kopfzeile"/>
      <w:jc w:val="right"/>
    </w:pPr>
  </w:p>
  <w:p w:rsidR="00D52E92" w:rsidRDefault="00D52E92" w:rsidP="008F2ADD">
    <w:pPr>
      <w:pStyle w:val="Kopfzeile"/>
      <w:jc w:val="right"/>
    </w:pPr>
  </w:p>
  <w:p w:rsidR="00D52E92" w:rsidRDefault="00D52E9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E144036"/>
    <w:multiLevelType w:val="hybridMultilevel"/>
    <w:tmpl w:val="4D4E01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884CE1"/>
    <w:multiLevelType w:val="hybridMultilevel"/>
    <w:tmpl w:val="4EF0E4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9736082"/>
    <w:multiLevelType w:val="multilevel"/>
    <w:tmpl w:val="5E80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73E6691"/>
    <w:multiLevelType w:val="hybridMultilevel"/>
    <w:tmpl w:val="36FCF2C6"/>
    <w:lvl w:ilvl="0" w:tplc="4AA643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FA2DFD"/>
    <w:multiLevelType w:val="hybridMultilevel"/>
    <w:tmpl w:val="250C8540"/>
    <w:lvl w:ilvl="0" w:tplc="E856AF22">
      <w:start w:val="20"/>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nsid w:val="4BD97A69"/>
    <w:multiLevelType w:val="hybridMultilevel"/>
    <w:tmpl w:val="B6BCE144"/>
    <w:lvl w:ilvl="0" w:tplc="228CA6D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953260"/>
    <w:multiLevelType w:val="hybridMultilevel"/>
    <w:tmpl w:val="B2480B82"/>
    <w:lvl w:ilvl="0" w:tplc="FCA02A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9">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6CC2AD2"/>
    <w:multiLevelType w:val="multilevel"/>
    <w:tmpl w:val="1EFCEC30"/>
    <w:numStyleLink w:val="ListemitAufzhlungszeichenDoka"/>
  </w:abstractNum>
  <w:abstractNum w:abstractNumId="31">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4705778"/>
    <w:multiLevelType w:val="hybridMultilevel"/>
    <w:tmpl w:val="736ED5C2"/>
    <w:lvl w:ilvl="0" w:tplc="12CA562E">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8"/>
  </w:num>
  <w:num w:numId="3">
    <w:abstractNumId w:val="21"/>
  </w:num>
  <w:num w:numId="4">
    <w:abstractNumId w:val="9"/>
  </w:num>
  <w:num w:numId="5">
    <w:abstractNumId w:val="28"/>
  </w:num>
  <w:num w:numId="6">
    <w:abstractNumId w:val="14"/>
  </w:num>
  <w:num w:numId="7">
    <w:abstractNumId w:val="17"/>
  </w:num>
  <w:num w:numId="8">
    <w:abstractNumId w:val="5"/>
  </w:num>
  <w:num w:numId="9">
    <w:abstractNumId w:val="27"/>
  </w:num>
  <w:num w:numId="10">
    <w:abstractNumId w:val="13"/>
  </w:num>
  <w:num w:numId="11">
    <w:abstractNumId w:val="39"/>
  </w:num>
  <w:num w:numId="12">
    <w:abstractNumId w:val="18"/>
  </w:num>
  <w:num w:numId="13">
    <w:abstractNumId w:val="0"/>
  </w:num>
  <w:num w:numId="14">
    <w:abstractNumId w:val="37"/>
  </w:num>
  <w:num w:numId="15">
    <w:abstractNumId w:val="34"/>
  </w:num>
  <w:num w:numId="16">
    <w:abstractNumId w:val="20"/>
  </w:num>
  <w:num w:numId="17">
    <w:abstractNumId w:val="2"/>
  </w:num>
  <w:num w:numId="18">
    <w:abstractNumId w:val="32"/>
  </w:num>
  <w:num w:numId="19">
    <w:abstractNumId w:val="3"/>
  </w:num>
  <w:num w:numId="20">
    <w:abstractNumId w:val="31"/>
  </w:num>
  <w:num w:numId="21">
    <w:abstractNumId w:val="1"/>
  </w:num>
  <w:num w:numId="22">
    <w:abstractNumId w:val="7"/>
  </w:num>
  <w:num w:numId="23">
    <w:abstractNumId w:val="12"/>
  </w:num>
  <w:num w:numId="24">
    <w:abstractNumId w:val="23"/>
  </w:num>
  <w:num w:numId="25">
    <w:abstractNumId w:val="29"/>
  </w:num>
  <w:num w:numId="26">
    <w:abstractNumId w:val="10"/>
  </w:num>
  <w:num w:numId="27">
    <w:abstractNumId w:val="35"/>
  </w:num>
  <w:num w:numId="28">
    <w:abstractNumId w:val="36"/>
  </w:num>
  <w:num w:numId="29">
    <w:abstractNumId w:val="19"/>
  </w:num>
  <w:num w:numId="30">
    <w:abstractNumId w:val="16"/>
  </w:num>
  <w:num w:numId="31">
    <w:abstractNumId w:val="30"/>
  </w:num>
  <w:num w:numId="32">
    <w:abstractNumId w:val="4"/>
  </w:num>
  <w:num w:numId="33">
    <w:abstractNumId w:val="24"/>
  </w:num>
  <w:num w:numId="34">
    <w:abstractNumId w:val="22"/>
  </w:num>
  <w:num w:numId="35">
    <w:abstractNumId w:val="11"/>
  </w:num>
  <w:num w:numId="36">
    <w:abstractNumId w:val="6"/>
  </w:num>
  <w:num w:numId="37">
    <w:abstractNumId w:val="15"/>
  </w:num>
  <w:num w:numId="38">
    <w:abstractNumId w:val="26"/>
  </w:num>
  <w:num w:numId="39">
    <w:abstractNumId w:val="25"/>
  </w:num>
  <w:num w:numId="4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3777"/>
  </w:hdrShapeDefaults>
  <w:footnotePr>
    <w:footnote w:id="-1"/>
    <w:footnote w:id="0"/>
  </w:footnotePr>
  <w:endnotePr>
    <w:endnote w:id="-1"/>
    <w:endnote w:id="0"/>
  </w:endnotePr>
  <w:compat/>
  <w:rsids>
    <w:rsidRoot w:val="004C707F"/>
    <w:rsid w:val="00001DF8"/>
    <w:rsid w:val="00001E5D"/>
    <w:rsid w:val="00003485"/>
    <w:rsid w:val="000035C4"/>
    <w:rsid w:val="00005A66"/>
    <w:rsid w:val="00005BA4"/>
    <w:rsid w:val="00005CA4"/>
    <w:rsid w:val="00006FAA"/>
    <w:rsid w:val="00010B19"/>
    <w:rsid w:val="0001239A"/>
    <w:rsid w:val="00015F66"/>
    <w:rsid w:val="000164FB"/>
    <w:rsid w:val="00016591"/>
    <w:rsid w:val="00017E35"/>
    <w:rsid w:val="000206DB"/>
    <w:rsid w:val="00021A76"/>
    <w:rsid w:val="00022C99"/>
    <w:rsid w:val="00023479"/>
    <w:rsid w:val="00024616"/>
    <w:rsid w:val="000251EE"/>
    <w:rsid w:val="000257A8"/>
    <w:rsid w:val="00030363"/>
    <w:rsid w:val="0003051C"/>
    <w:rsid w:val="00031903"/>
    <w:rsid w:val="00032029"/>
    <w:rsid w:val="00032FE1"/>
    <w:rsid w:val="00033788"/>
    <w:rsid w:val="00034099"/>
    <w:rsid w:val="00034B75"/>
    <w:rsid w:val="000358AF"/>
    <w:rsid w:val="00036CD3"/>
    <w:rsid w:val="00037AC8"/>
    <w:rsid w:val="00041FC1"/>
    <w:rsid w:val="000420F0"/>
    <w:rsid w:val="0004435C"/>
    <w:rsid w:val="000447C1"/>
    <w:rsid w:val="000457D7"/>
    <w:rsid w:val="00047A5E"/>
    <w:rsid w:val="00053DAF"/>
    <w:rsid w:val="00054E87"/>
    <w:rsid w:val="00054FA8"/>
    <w:rsid w:val="0005543A"/>
    <w:rsid w:val="00056EC9"/>
    <w:rsid w:val="00057657"/>
    <w:rsid w:val="00057DDE"/>
    <w:rsid w:val="00060BDD"/>
    <w:rsid w:val="00061246"/>
    <w:rsid w:val="0006146F"/>
    <w:rsid w:val="000632DB"/>
    <w:rsid w:val="00066095"/>
    <w:rsid w:val="000675CE"/>
    <w:rsid w:val="00071D1E"/>
    <w:rsid w:val="00072B49"/>
    <w:rsid w:val="00073AC8"/>
    <w:rsid w:val="00073BB1"/>
    <w:rsid w:val="00074603"/>
    <w:rsid w:val="0007610C"/>
    <w:rsid w:val="0007693E"/>
    <w:rsid w:val="00076DB5"/>
    <w:rsid w:val="000773D4"/>
    <w:rsid w:val="00080383"/>
    <w:rsid w:val="00081B55"/>
    <w:rsid w:val="000846F2"/>
    <w:rsid w:val="000873E2"/>
    <w:rsid w:val="00087937"/>
    <w:rsid w:val="00090489"/>
    <w:rsid w:val="000904EA"/>
    <w:rsid w:val="00092424"/>
    <w:rsid w:val="000931C4"/>
    <w:rsid w:val="000934DE"/>
    <w:rsid w:val="00094E70"/>
    <w:rsid w:val="0009777F"/>
    <w:rsid w:val="000A27A6"/>
    <w:rsid w:val="000A3429"/>
    <w:rsid w:val="000A4782"/>
    <w:rsid w:val="000A6BF4"/>
    <w:rsid w:val="000B111C"/>
    <w:rsid w:val="000B1E8D"/>
    <w:rsid w:val="000B7ED1"/>
    <w:rsid w:val="000C09CF"/>
    <w:rsid w:val="000C0E0C"/>
    <w:rsid w:val="000C36C0"/>
    <w:rsid w:val="000C58F0"/>
    <w:rsid w:val="000C7784"/>
    <w:rsid w:val="000D09F0"/>
    <w:rsid w:val="000D0CDF"/>
    <w:rsid w:val="000D3FE3"/>
    <w:rsid w:val="000D6636"/>
    <w:rsid w:val="000D7048"/>
    <w:rsid w:val="000D7B0A"/>
    <w:rsid w:val="000E0B2E"/>
    <w:rsid w:val="000E278F"/>
    <w:rsid w:val="000E3A57"/>
    <w:rsid w:val="000F08AF"/>
    <w:rsid w:val="000F0A26"/>
    <w:rsid w:val="000F27D8"/>
    <w:rsid w:val="000F2860"/>
    <w:rsid w:val="000F4755"/>
    <w:rsid w:val="000F6CA7"/>
    <w:rsid w:val="000F76A4"/>
    <w:rsid w:val="00101154"/>
    <w:rsid w:val="00101991"/>
    <w:rsid w:val="0010480C"/>
    <w:rsid w:val="00105C9E"/>
    <w:rsid w:val="001061E2"/>
    <w:rsid w:val="00106E60"/>
    <w:rsid w:val="00106E89"/>
    <w:rsid w:val="0010701D"/>
    <w:rsid w:val="00107B3C"/>
    <w:rsid w:val="001121D1"/>
    <w:rsid w:val="0011300D"/>
    <w:rsid w:val="00114DC8"/>
    <w:rsid w:val="0011589F"/>
    <w:rsid w:val="0011670E"/>
    <w:rsid w:val="00121825"/>
    <w:rsid w:val="00123655"/>
    <w:rsid w:val="00123ACB"/>
    <w:rsid w:val="00123CF2"/>
    <w:rsid w:val="001249C4"/>
    <w:rsid w:val="0012522B"/>
    <w:rsid w:val="0012691E"/>
    <w:rsid w:val="00127CB8"/>
    <w:rsid w:val="001325BB"/>
    <w:rsid w:val="001329B6"/>
    <w:rsid w:val="001333F8"/>
    <w:rsid w:val="0013361D"/>
    <w:rsid w:val="00137475"/>
    <w:rsid w:val="001377E1"/>
    <w:rsid w:val="00141D03"/>
    <w:rsid w:val="00142BE3"/>
    <w:rsid w:val="00144E26"/>
    <w:rsid w:val="0014515C"/>
    <w:rsid w:val="00145700"/>
    <w:rsid w:val="00146707"/>
    <w:rsid w:val="00146978"/>
    <w:rsid w:val="00146991"/>
    <w:rsid w:val="001478FA"/>
    <w:rsid w:val="0015009A"/>
    <w:rsid w:val="00150667"/>
    <w:rsid w:val="00150745"/>
    <w:rsid w:val="00151116"/>
    <w:rsid w:val="00151804"/>
    <w:rsid w:val="0015238A"/>
    <w:rsid w:val="001529C9"/>
    <w:rsid w:val="001529D7"/>
    <w:rsid w:val="001532FF"/>
    <w:rsid w:val="001550EB"/>
    <w:rsid w:val="0015605F"/>
    <w:rsid w:val="00161368"/>
    <w:rsid w:val="001623A2"/>
    <w:rsid w:val="001629CD"/>
    <w:rsid w:val="00162FD3"/>
    <w:rsid w:val="00163E88"/>
    <w:rsid w:val="00165E1B"/>
    <w:rsid w:val="00167DC2"/>
    <w:rsid w:val="001732EA"/>
    <w:rsid w:val="00175E56"/>
    <w:rsid w:val="00176393"/>
    <w:rsid w:val="00180E8A"/>
    <w:rsid w:val="00182235"/>
    <w:rsid w:val="001837FA"/>
    <w:rsid w:val="0018399C"/>
    <w:rsid w:val="001844E7"/>
    <w:rsid w:val="001857E2"/>
    <w:rsid w:val="00186CB1"/>
    <w:rsid w:val="001875BA"/>
    <w:rsid w:val="001876C2"/>
    <w:rsid w:val="00190C01"/>
    <w:rsid w:val="00191504"/>
    <w:rsid w:val="00191F1C"/>
    <w:rsid w:val="00192350"/>
    <w:rsid w:val="00192844"/>
    <w:rsid w:val="0019341F"/>
    <w:rsid w:val="001964F5"/>
    <w:rsid w:val="001A121E"/>
    <w:rsid w:val="001A1266"/>
    <w:rsid w:val="001A3C69"/>
    <w:rsid w:val="001A5C2E"/>
    <w:rsid w:val="001B24D6"/>
    <w:rsid w:val="001B4989"/>
    <w:rsid w:val="001B504D"/>
    <w:rsid w:val="001B66E8"/>
    <w:rsid w:val="001B6ABF"/>
    <w:rsid w:val="001B6EF0"/>
    <w:rsid w:val="001C2B26"/>
    <w:rsid w:val="001C3871"/>
    <w:rsid w:val="001C3BEC"/>
    <w:rsid w:val="001C731A"/>
    <w:rsid w:val="001D0541"/>
    <w:rsid w:val="001D1B09"/>
    <w:rsid w:val="001D3327"/>
    <w:rsid w:val="001D39D7"/>
    <w:rsid w:val="001D775D"/>
    <w:rsid w:val="001E286D"/>
    <w:rsid w:val="001E30AD"/>
    <w:rsid w:val="001E5C32"/>
    <w:rsid w:val="001E625B"/>
    <w:rsid w:val="001E743E"/>
    <w:rsid w:val="001E78A3"/>
    <w:rsid w:val="001F0607"/>
    <w:rsid w:val="001F1553"/>
    <w:rsid w:val="001F2159"/>
    <w:rsid w:val="001F4501"/>
    <w:rsid w:val="001F67C2"/>
    <w:rsid w:val="001F6A7F"/>
    <w:rsid w:val="002011E6"/>
    <w:rsid w:val="0020125E"/>
    <w:rsid w:val="00201F1E"/>
    <w:rsid w:val="002046D6"/>
    <w:rsid w:val="00206107"/>
    <w:rsid w:val="0021232A"/>
    <w:rsid w:val="00212D77"/>
    <w:rsid w:val="00214591"/>
    <w:rsid w:val="00215461"/>
    <w:rsid w:val="00216EBD"/>
    <w:rsid w:val="00217920"/>
    <w:rsid w:val="00217D53"/>
    <w:rsid w:val="002217EB"/>
    <w:rsid w:val="00222918"/>
    <w:rsid w:val="00225958"/>
    <w:rsid w:val="0022681D"/>
    <w:rsid w:val="00227334"/>
    <w:rsid w:val="002273BC"/>
    <w:rsid w:val="0023028B"/>
    <w:rsid w:val="00231CD8"/>
    <w:rsid w:val="0023241C"/>
    <w:rsid w:val="00233995"/>
    <w:rsid w:val="002349EA"/>
    <w:rsid w:val="002352E2"/>
    <w:rsid w:val="00235DB4"/>
    <w:rsid w:val="00241FFC"/>
    <w:rsid w:val="0024357E"/>
    <w:rsid w:val="00244453"/>
    <w:rsid w:val="00245B95"/>
    <w:rsid w:val="002474D0"/>
    <w:rsid w:val="00247C20"/>
    <w:rsid w:val="002518A2"/>
    <w:rsid w:val="002533FD"/>
    <w:rsid w:val="0025551E"/>
    <w:rsid w:val="00255FAB"/>
    <w:rsid w:val="00260020"/>
    <w:rsid w:val="002606C2"/>
    <w:rsid w:val="002622A5"/>
    <w:rsid w:val="00263386"/>
    <w:rsid w:val="00263FB8"/>
    <w:rsid w:val="0026471F"/>
    <w:rsid w:val="002647DE"/>
    <w:rsid w:val="00264A65"/>
    <w:rsid w:val="00265E79"/>
    <w:rsid w:val="002665EF"/>
    <w:rsid w:val="002671B6"/>
    <w:rsid w:val="00270768"/>
    <w:rsid w:val="00271C96"/>
    <w:rsid w:val="00272A8C"/>
    <w:rsid w:val="002733D7"/>
    <w:rsid w:val="00273BBA"/>
    <w:rsid w:val="00277CE6"/>
    <w:rsid w:val="0028229F"/>
    <w:rsid w:val="002823C0"/>
    <w:rsid w:val="0028370E"/>
    <w:rsid w:val="00283BB3"/>
    <w:rsid w:val="00284E37"/>
    <w:rsid w:val="002878DF"/>
    <w:rsid w:val="00287BDE"/>
    <w:rsid w:val="0029015E"/>
    <w:rsid w:val="002902E7"/>
    <w:rsid w:val="0029242F"/>
    <w:rsid w:val="00292958"/>
    <w:rsid w:val="0029322A"/>
    <w:rsid w:val="002952B9"/>
    <w:rsid w:val="002955F2"/>
    <w:rsid w:val="002955F7"/>
    <w:rsid w:val="00295804"/>
    <w:rsid w:val="00296533"/>
    <w:rsid w:val="00296B63"/>
    <w:rsid w:val="00297904"/>
    <w:rsid w:val="002A08B0"/>
    <w:rsid w:val="002A0E48"/>
    <w:rsid w:val="002A1FB5"/>
    <w:rsid w:val="002A2048"/>
    <w:rsid w:val="002A28A8"/>
    <w:rsid w:val="002A3351"/>
    <w:rsid w:val="002A35E4"/>
    <w:rsid w:val="002A48AA"/>
    <w:rsid w:val="002A48CD"/>
    <w:rsid w:val="002A560B"/>
    <w:rsid w:val="002A5A0A"/>
    <w:rsid w:val="002A6293"/>
    <w:rsid w:val="002A6736"/>
    <w:rsid w:val="002A7BE0"/>
    <w:rsid w:val="002B0A77"/>
    <w:rsid w:val="002B11DA"/>
    <w:rsid w:val="002B1823"/>
    <w:rsid w:val="002B2195"/>
    <w:rsid w:val="002B3BFC"/>
    <w:rsid w:val="002B3DCF"/>
    <w:rsid w:val="002B7048"/>
    <w:rsid w:val="002B77BD"/>
    <w:rsid w:val="002C37E0"/>
    <w:rsid w:val="002C3B72"/>
    <w:rsid w:val="002C4E8E"/>
    <w:rsid w:val="002C66B4"/>
    <w:rsid w:val="002C79F1"/>
    <w:rsid w:val="002C7F0F"/>
    <w:rsid w:val="002D18AA"/>
    <w:rsid w:val="002D1CC4"/>
    <w:rsid w:val="002D5383"/>
    <w:rsid w:val="002D59DD"/>
    <w:rsid w:val="002D7E07"/>
    <w:rsid w:val="002E691F"/>
    <w:rsid w:val="002E6A21"/>
    <w:rsid w:val="002E6E8D"/>
    <w:rsid w:val="002E7289"/>
    <w:rsid w:val="002F0538"/>
    <w:rsid w:val="002F0DFF"/>
    <w:rsid w:val="002F14EE"/>
    <w:rsid w:val="002F35D8"/>
    <w:rsid w:val="002F46EC"/>
    <w:rsid w:val="002F6989"/>
    <w:rsid w:val="0030061E"/>
    <w:rsid w:val="003008C0"/>
    <w:rsid w:val="003021C4"/>
    <w:rsid w:val="003048A1"/>
    <w:rsid w:val="00306A48"/>
    <w:rsid w:val="00306D90"/>
    <w:rsid w:val="00307B6F"/>
    <w:rsid w:val="00311762"/>
    <w:rsid w:val="00315C2D"/>
    <w:rsid w:val="00315F89"/>
    <w:rsid w:val="00316391"/>
    <w:rsid w:val="003201F6"/>
    <w:rsid w:val="003214AF"/>
    <w:rsid w:val="0032403B"/>
    <w:rsid w:val="003254C3"/>
    <w:rsid w:val="00325611"/>
    <w:rsid w:val="00326CF9"/>
    <w:rsid w:val="00330693"/>
    <w:rsid w:val="00330DF7"/>
    <w:rsid w:val="003340A2"/>
    <w:rsid w:val="003364BD"/>
    <w:rsid w:val="00336F5A"/>
    <w:rsid w:val="0034021A"/>
    <w:rsid w:val="003422A5"/>
    <w:rsid w:val="00342B97"/>
    <w:rsid w:val="00343325"/>
    <w:rsid w:val="003436AE"/>
    <w:rsid w:val="0034431B"/>
    <w:rsid w:val="00347CB8"/>
    <w:rsid w:val="0035288B"/>
    <w:rsid w:val="0035446C"/>
    <w:rsid w:val="00356684"/>
    <w:rsid w:val="00357964"/>
    <w:rsid w:val="00357C2A"/>
    <w:rsid w:val="003605A8"/>
    <w:rsid w:val="00361724"/>
    <w:rsid w:val="00361C4D"/>
    <w:rsid w:val="00361E0E"/>
    <w:rsid w:val="003631D1"/>
    <w:rsid w:val="003636EA"/>
    <w:rsid w:val="00363D32"/>
    <w:rsid w:val="00366960"/>
    <w:rsid w:val="00366A3C"/>
    <w:rsid w:val="00371B67"/>
    <w:rsid w:val="00372F59"/>
    <w:rsid w:val="0037573D"/>
    <w:rsid w:val="00375913"/>
    <w:rsid w:val="003764D7"/>
    <w:rsid w:val="00377102"/>
    <w:rsid w:val="00380A98"/>
    <w:rsid w:val="00383394"/>
    <w:rsid w:val="00385AA2"/>
    <w:rsid w:val="00386AD2"/>
    <w:rsid w:val="00390A5E"/>
    <w:rsid w:val="00390D71"/>
    <w:rsid w:val="00393CDB"/>
    <w:rsid w:val="00394288"/>
    <w:rsid w:val="0039524B"/>
    <w:rsid w:val="003A021D"/>
    <w:rsid w:val="003A0A73"/>
    <w:rsid w:val="003A5B0C"/>
    <w:rsid w:val="003A79FC"/>
    <w:rsid w:val="003B3A45"/>
    <w:rsid w:val="003B3FCB"/>
    <w:rsid w:val="003B5F34"/>
    <w:rsid w:val="003B7D96"/>
    <w:rsid w:val="003C37F4"/>
    <w:rsid w:val="003C3BC9"/>
    <w:rsid w:val="003C58F6"/>
    <w:rsid w:val="003C7768"/>
    <w:rsid w:val="003D0539"/>
    <w:rsid w:val="003D2149"/>
    <w:rsid w:val="003D372D"/>
    <w:rsid w:val="003D40ED"/>
    <w:rsid w:val="003D45EF"/>
    <w:rsid w:val="003D4B66"/>
    <w:rsid w:val="003D595C"/>
    <w:rsid w:val="003D7FB7"/>
    <w:rsid w:val="003E07E3"/>
    <w:rsid w:val="003E0E0F"/>
    <w:rsid w:val="003E1B7C"/>
    <w:rsid w:val="003E214F"/>
    <w:rsid w:val="003E2615"/>
    <w:rsid w:val="003E3324"/>
    <w:rsid w:val="003E4C28"/>
    <w:rsid w:val="003E4C7C"/>
    <w:rsid w:val="003E62DA"/>
    <w:rsid w:val="003E679B"/>
    <w:rsid w:val="003F1085"/>
    <w:rsid w:val="003F1419"/>
    <w:rsid w:val="003F1F52"/>
    <w:rsid w:val="003F2D41"/>
    <w:rsid w:val="003F3629"/>
    <w:rsid w:val="003F36FE"/>
    <w:rsid w:val="003F3E4E"/>
    <w:rsid w:val="003F5E30"/>
    <w:rsid w:val="003F6267"/>
    <w:rsid w:val="003F627A"/>
    <w:rsid w:val="003F7C37"/>
    <w:rsid w:val="0040232C"/>
    <w:rsid w:val="00404451"/>
    <w:rsid w:val="00404F59"/>
    <w:rsid w:val="00405A09"/>
    <w:rsid w:val="00410041"/>
    <w:rsid w:val="00414531"/>
    <w:rsid w:val="004164B4"/>
    <w:rsid w:val="004165BC"/>
    <w:rsid w:val="004169A6"/>
    <w:rsid w:val="004235FA"/>
    <w:rsid w:val="00424EB9"/>
    <w:rsid w:val="0042646B"/>
    <w:rsid w:val="00426905"/>
    <w:rsid w:val="004270A9"/>
    <w:rsid w:val="00430B08"/>
    <w:rsid w:val="0043128E"/>
    <w:rsid w:val="004324E4"/>
    <w:rsid w:val="00434802"/>
    <w:rsid w:val="004359DA"/>
    <w:rsid w:val="004360CB"/>
    <w:rsid w:val="004361E6"/>
    <w:rsid w:val="004404D9"/>
    <w:rsid w:val="004454F6"/>
    <w:rsid w:val="00451B53"/>
    <w:rsid w:val="0045204D"/>
    <w:rsid w:val="00452CE5"/>
    <w:rsid w:val="00455EFF"/>
    <w:rsid w:val="00461AEE"/>
    <w:rsid w:val="00463017"/>
    <w:rsid w:val="004639B7"/>
    <w:rsid w:val="00463CD4"/>
    <w:rsid w:val="0046479F"/>
    <w:rsid w:val="00464B9F"/>
    <w:rsid w:val="00465090"/>
    <w:rsid w:val="0046617D"/>
    <w:rsid w:val="00466C78"/>
    <w:rsid w:val="00474177"/>
    <w:rsid w:val="004758D0"/>
    <w:rsid w:val="004761F1"/>
    <w:rsid w:val="004772EF"/>
    <w:rsid w:val="004819BA"/>
    <w:rsid w:val="00482EEA"/>
    <w:rsid w:val="0048426A"/>
    <w:rsid w:val="00485CF7"/>
    <w:rsid w:val="00485ECC"/>
    <w:rsid w:val="00490D95"/>
    <w:rsid w:val="00491B05"/>
    <w:rsid w:val="00492D60"/>
    <w:rsid w:val="00493050"/>
    <w:rsid w:val="0049413A"/>
    <w:rsid w:val="004A0EF2"/>
    <w:rsid w:val="004A11B0"/>
    <w:rsid w:val="004A31DE"/>
    <w:rsid w:val="004A3FD6"/>
    <w:rsid w:val="004A454D"/>
    <w:rsid w:val="004A6F5E"/>
    <w:rsid w:val="004B0024"/>
    <w:rsid w:val="004B42D6"/>
    <w:rsid w:val="004C0D81"/>
    <w:rsid w:val="004C47F8"/>
    <w:rsid w:val="004C4A28"/>
    <w:rsid w:val="004C51BD"/>
    <w:rsid w:val="004C56CF"/>
    <w:rsid w:val="004C6876"/>
    <w:rsid w:val="004C707F"/>
    <w:rsid w:val="004C7B88"/>
    <w:rsid w:val="004D0745"/>
    <w:rsid w:val="004D407B"/>
    <w:rsid w:val="004D488F"/>
    <w:rsid w:val="004D55DB"/>
    <w:rsid w:val="004E01A8"/>
    <w:rsid w:val="004E1100"/>
    <w:rsid w:val="004E31AC"/>
    <w:rsid w:val="004E41CA"/>
    <w:rsid w:val="004E5EFD"/>
    <w:rsid w:val="004F04CE"/>
    <w:rsid w:val="004F0C47"/>
    <w:rsid w:val="004F1124"/>
    <w:rsid w:val="004F13B7"/>
    <w:rsid w:val="004F1622"/>
    <w:rsid w:val="004F2992"/>
    <w:rsid w:val="00500331"/>
    <w:rsid w:val="005021D2"/>
    <w:rsid w:val="00502444"/>
    <w:rsid w:val="005027B6"/>
    <w:rsid w:val="00503ED8"/>
    <w:rsid w:val="005040D1"/>
    <w:rsid w:val="00507CE8"/>
    <w:rsid w:val="005129C0"/>
    <w:rsid w:val="00513DA7"/>
    <w:rsid w:val="00513F15"/>
    <w:rsid w:val="00514C50"/>
    <w:rsid w:val="005151C6"/>
    <w:rsid w:val="005152D2"/>
    <w:rsid w:val="0051534D"/>
    <w:rsid w:val="005155D9"/>
    <w:rsid w:val="00515D25"/>
    <w:rsid w:val="00516CCC"/>
    <w:rsid w:val="00520907"/>
    <w:rsid w:val="00522770"/>
    <w:rsid w:val="00522EBF"/>
    <w:rsid w:val="005241D6"/>
    <w:rsid w:val="00524491"/>
    <w:rsid w:val="00524A96"/>
    <w:rsid w:val="005254C5"/>
    <w:rsid w:val="005257A0"/>
    <w:rsid w:val="0052643C"/>
    <w:rsid w:val="005264B6"/>
    <w:rsid w:val="00531302"/>
    <w:rsid w:val="005326E6"/>
    <w:rsid w:val="005329A4"/>
    <w:rsid w:val="00532FA9"/>
    <w:rsid w:val="00533B9D"/>
    <w:rsid w:val="0053545F"/>
    <w:rsid w:val="00541415"/>
    <w:rsid w:val="005428D8"/>
    <w:rsid w:val="005438D2"/>
    <w:rsid w:val="00545FB8"/>
    <w:rsid w:val="00547C6D"/>
    <w:rsid w:val="00561564"/>
    <w:rsid w:val="00563AD8"/>
    <w:rsid w:val="00564AF1"/>
    <w:rsid w:val="0056548D"/>
    <w:rsid w:val="00566054"/>
    <w:rsid w:val="005673DA"/>
    <w:rsid w:val="00571487"/>
    <w:rsid w:val="00573B10"/>
    <w:rsid w:val="00575CDA"/>
    <w:rsid w:val="00582533"/>
    <w:rsid w:val="00584432"/>
    <w:rsid w:val="0059089E"/>
    <w:rsid w:val="00591F76"/>
    <w:rsid w:val="00592DA5"/>
    <w:rsid w:val="005942F6"/>
    <w:rsid w:val="00594A33"/>
    <w:rsid w:val="00595B1F"/>
    <w:rsid w:val="00595B2B"/>
    <w:rsid w:val="005965EE"/>
    <w:rsid w:val="005A57D3"/>
    <w:rsid w:val="005B0AB2"/>
    <w:rsid w:val="005B0CFA"/>
    <w:rsid w:val="005B3210"/>
    <w:rsid w:val="005B376F"/>
    <w:rsid w:val="005B6039"/>
    <w:rsid w:val="005B70A3"/>
    <w:rsid w:val="005C05EF"/>
    <w:rsid w:val="005C1176"/>
    <w:rsid w:val="005C1DB2"/>
    <w:rsid w:val="005C32B0"/>
    <w:rsid w:val="005C4ED3"/>
    <w:rsid w:val="005D114F"/>
    <w:rsid w:val="005D239A"/>
    <w:rsid w:val="005D2F44"/>
    <w:rsid w:val="005D590E"/>
    <w:rsid w:val="005E0E8E"/>
    <w:rsid w:val="005E0FAC"/>
    <w:rsid w:val="005E4BFA"/>
    <w:rsid w:val="005E67C5"/>
    <w:rsid w:val="005E7010"/>
    <w:rsid w:val="005F07BE"/>
    <w:rsid w:val="005F0E38"/>
    <w:rsid w:val="005F19E4"/>
    <w:rsid w:val="005F3CCF"/>
    <w:rsid w:val="005F46D0"/>
    <w:rsid w:val="005F4E67"/>
    <w:rsid w:val="005F6A06"/>
    <w:rsid w:val="00601815"/>
    <w:rsid w:val="0060389F"/>
    <w:rsid w:val="00605ED4"/>
    <w:rsid w:val="00607D2C"/>
    <w:rsid w:val="00607DE8"/>
    <w:rsid w:val="006125EA"/>
    <w:rsid w:val="00616559"/>
    <w:rsid w:val="006174CA"/>
    <w:rsid w:val="00620C6E"/>
    <w:rsid w:val="00624324"/>
    <w:rsid w:val="00624AF4"/>
    <w:rsid w:val="00624DEB"/>
    <w:rsid w:val="0062650A"/>
    <w:rsid w:val="00626A22"/>
    <w:rsid w:val="00627061"/>
    <w:rsid w:val="00630D0C"/>
    <w:rsid w:val="00631BE6"/>
    <w:rsid w:val="006337B2"/>
    <w:rsid w:val="00633874"/>
    <w:rsid w:val="00636028"/>
    <w:rsid w:val="00636A80"/>
    <w:rsid w:val="0063713C"/>
    <w:rsid w:val="00640166"/>
    <w:rsid w:val="006414C4"/>
    <w:rsid w:val="0064194F"/>
    <w:rsid w:val="00641955"/>
    <w:rsid w:val="00644708"/>
    <w:rsid w:val="006459F5"/>
    <w:rsid w:val="00645AFF"/>
    <w:rsid w:val="00646FD2"/>
    <w:rsid w:val="0064730F"/>
    <w:rsid w:val="00650243"/>
    <w:rsid w:val="006515B2"/>
    <w:rsid w:val="00653266"/>
    <w:rsid w:val="006542E6"/>
    <w:rsid w:val="00655F40"/>
    <w:rsid w:val="006568C4"/>
    <w:rsid w:val="006632D6"/>
    <w:rsid w:val="00665F31"/>
    <w:rsid w:val="00667197"/>
    <w:rsid w:val="0067242A"/>
    <w:rsid w:val="00672656"/>
    <w:rsid w:val="006735BC"/>
    <w:rsid w:val="00673A41"/>
    <w:rsid w:val="006748FC"/>
    <w:rsid w:val="00676BB2"/>
    <w:rsid w:val="006775AD"/>
    <w:rsid w:val="00681411"/>
    <w:rsid w:val="006877FF"/>
    <w:rsid w:val="00687D50"/>
    <w:rsid w:val="00687F2A"/>
    <w:rsid w:val="00691F90"/>
    <w:rsid w:val="00692CCA"/>
    <w:rsid w:val="00694EEE"/>
    <w:rsid w:val="00695639"/>
    <w:rsid w:val="0069670A"/>
    <w:rsid w:val="006A380E"/>
    <w:rsid w:val="006A4302"/>
    <w:rsid w:val="006A7FEA"/>
    <w:rsid w:val="006B026E"/>
    <w:rsid w:val="006B15DB"/>
    <w:rsid w:val="006B1C40"/>
    <w:rsid w:val="006B44CA"/>
    <w:rsid w:val="006B49BA"/>
    <w:rsid w:val="006B53A2"/>
    <w:rsid w:val="006B592F"/>
    <w:rsid w:val="006B62E8"/>
    <w:rsid w:val="006B6F45"/>
    <w:rsid w:val="006C09E1"/>
    <w:rsid w:val="006C0B23"/>
    <w:rsid w:val="006C0CAA"/>
    <w:rsid w:val="006C2685"/>
    <w:rsid w:val="006C54C3"/>
    <w:rsid w:val="006C5FFE"/>
    <w:rsid w:val="006D11DF"/>
    <w:rsid w:val="006D2F3F"/>
    <w:rsid w:val="006D33AE"/>
    <w:rsid w:val="006D3FFF"/>
    <w:rsid w:val="006D4BCB"/>
    <w:rsid w:val="006D598E"/>
    <w:rsid w:val="006D73B9"/>
    <w:rsid w:val="006E10C7"/>
    <w:rsid w:val="006E1201"/>
    <w:rsid w:val="006E1D40"/>
    <w:rsid w:val="006E2A47"/>
    <w:rsid w:val="006E4EDB"/>
    <w:rsid w:val="006E4F75"/>
    <w:rsid w:val="006E63E8"/>
    <w:rsid w:val="006E6F12"/>
    <w:rsid w:val="006F005D"/>
    <w:rsid w:val="006F44A6"/>
    <w:rsid w:val="006F4ED2"/>
    <w:rsid w:val="006F525C"/>
    <w:rsid w:val="006F54ED"/>
    <w:rsid w:val="006F6B66"/>
    <w:rsid w:val="006F705B"/>
    <w:rsid w:val="006F73A7"/>
    <w:rsid w:val="00700FC1"/>
    <w:rsid w:val="00701B60"/>
    <w:rsid w:val="00704218"/>
    <w:rsid w:val="00704329"/>
    <w:rsid w:val="007107B6"/>
    <w:rsid w:val="00712661"/>
    <w:rsid w:val="00712D4B"/>
    <w:rsid w:val="00713D23"/>
    <w:rsid w:val="00715803"/>
    <w:rsid w:val="00715E95"/>
    <w:rsid w:val="00716038"/>
    <w:rsid w:val="00722415"/>
    <w:rsid w:val="00723751"/>
    <w:rsid w:val="00723FBC"/>
    <w:rsid w:val="00724142"/>
    <w:rsid w:val="0072587E"/>
    <w:rsid w:val="0073165F"/>
    <w:rsid w:val="00734717"/>
    <w:rsid w:val="00736003"/>
    <w:rsid w:val="007405E7"/>
    <w:rsid w:val="00740B84"/>
    <w:rsid w:val="00743359"/>
    <w:rsid w:val="00743D15"/>
    <w:rsid w:val="0074421F"/>
    <w:rsid w:val="0074461C"/>
    <w:rsid w:val="00744B21"/>
    <w:rsid w:val="00744CC7"/>
    <w:rsid w:val="0074598C"/>
    <w:rsid w:val="00745CFC"/>
    <w:rsid w:val="00745EC2"/>
    <w:rsid w:val="007468BB"/>
    <w:rsid w:val="007470D4"/>
    <w:rsid w:val="00747788"/>
    <w:rsid w:val="00747C4B"/>
    <w:rsid w:val="0075418C"/>
    <w:rsid w:val="00754317"/>
    <w:rsid w:val="00754E98"/>
    <w:rsid w:val="007619EF"/>
    <w:rsid w:val="00761C3D"/>
    <w:rsid w:val="00764918"/>
    <w:rsid w:val="00765BFB"/>
    <w:rsid w:val="007714DC"/>
    <w:rsid w:val="0077278C"/>
    <w:rsid w:val="00772DB1"/>
    <w:rsid w:val="007773A8"/>
    <w:rsid w:val="007802C6"/>
    <w:rsid w:val="00782A7A"/>
    <w:rsid w:val="00784045"/>
    <w:rsid w:val="0078579B"/>
    <w:rsid w:val="00786FD8"/>
    <w:rsid w:val="00790BD9"/>
    <w:rsid w:val="007A2609"/>
    <w:rsid w:val="007A319F"/>
    <w:rsid w:val="007A3EAD"/>
    <w:rsid w:val="007A4A33"/>
    <w:rsid w:val="007A694E"/>
    <w:rsid w:val="007B060B"/>
    <w:rsid w:val="007B112B"/>
    <w:rsid w:val="007B1CDE"/>
    <w:rsid w:val="007B27E3"/>
    <w:rsid w:val="007B3145"/>
    <w:rsid w:val="007B36E6"/>
    <w:rsid w:val="007B51B5"/>
    <w:rsid w:val="007B5A4D"/>
    <w:rsid w:val="007C108A"/>
    <w:rsid w:val="007C1F7C"/>
    <w:rsid w:val="007C3386"/>
    <w:rsid w:val="007C4F72"/>
    <w:rsid w:val="007D0F3B"/>
    <w:rsid w:val="007D13FB"/>
    <w:rsid w:val="007D1B73"/>
    <w:rsid w:val="007D28A3"/>
    <w:rsid w:val="007D3045"/>
    <w:rsid w:val="007D3940"/>
    <w:rsid w:val="007D49EF"/>
    <w:rsid w:val="007D5418"/>
    <w:rsid w:val="007D7D03"/>
    <w:rsid w:val="007E09C2"/>
    <w:rsid w:val="007E2140"/>
    <w:rsid w:val="007E243A"/>
    <w:rsid w:val="007E28E0"/>
    <w:rsid w:val="007E4931"/>
    <w:rsid w:val="007E6FF5"/>
    <w:rsid w:val="007E7747"/>
    <w:rsid w:val="007F1B5C"/>
    <w:rsid w:val="007F3803"/>
    <w:rsid w:val="007F5D04"/>
    <w:rsid w:val="007F6EE0"/>
    <w:rsid w:val="007F769B"/>
    <w:rsid w:val="007F7905"/>
    <w:rsid w:val="007F79FE"/>
    <w:rsid w:val="00802C3F"/>
    <w:rsid w:val="00803DE6"/>
    <w:rsid w:val="008071E0"/>
    <w:rsid w:val="00807495"/>
    <w:rsid w:val="008122E0"/>
    <w:rsid w:val="00812F9C"/>
    <w:rsid w:val="00814E9B"/>
    <w:rsid w:val="008168B4"/>
    <w:rsid w:val="00820494"/>
    <w:rsid w:val="0082069D"/>
    <w:rsid w:val="00821075"/>
    <w:rsid w:val="008213BD"/>
    <w:rsid w:val="00823F8B"/>
    <w:rsid w:val="008252FB"/>
    <w:rsid w:val="0082546A"/>
    <w:rsid w:val="00826274"/>
    <w:rsid w:val="00826BB2"/>
    <w:rsid w:val="00827B3C"/>
    <w:rsid w:val="00830C4B"/>
    <w:rsid w:val="00832A6E"/>
    <w:rsid w:val="00833554"/>
    <w:rsid w:val="00835A55"/>
    <w:rsid w:val="008362C0"/>
    <w:rsid w:val="008367C3"/>
    <w:rsid w:val="008371DF"/>
    <w:rsid w:val="008406A8"/>
    <w:rsid w:val="00840F99"/>
    <w:rsid w:val="00841263"/>
    <w:rsid w:val="00842102"/>
    <w:rsid w:val="0084262F"/>
    <w:rsid w:val="00842784"/>
    <w:rsid w:val="00843DD1"/>
    <w:rsid w:val="008440A1"/>
    <w:rsid w:val="00845C25"/>
    <w:rsid w:val="0084602A"/>
    <w:rsid w:val="008521DA"/>
    <w:rsid w:val="00852428"/>
    <w:rsid w:val="008525F0"/>
    <w:rsid w:val="00853D71"/>
    <w:rsid w:val="00854258"/>
    <w:rsid w:val="008545B4"/>
    <w:rsid w:val="00855CBB"/>
    <w:rsid w:val="00856656"/>
    <w:rsid w:val="00861C28"/>
    <w:rsid w:val="00862648"/>
    <w:rsid w:val="008637F3"/>
    <w:rsid w:val="00870FC4"/>
    <w:rsid w:val="00871A16"/>
    <w:rsid w:val="0087376E"/>
    <w:rsid w:val="00873B14"/>
    <w:rsid w:val="0087423F"/>
    <w:rsid w:val="008779CD"/>
    <w:rsid w:val="00883373"/>
    <w:rsid w:val="008850B1"/>
    <w:rsid w:val="0088590F"/>
    <w:rsid w:val="00891372"/>
    <w:rsid w:val="008925E9"/>
    <w:rsid w:val="00892BD9"/>
    <w:rsid w:val="00892C30"/>
    <w:rsid w:val="008938F0"/>
    <w:rsid w:val="00894A7D"/>
    <w:rsid w:val="00894E04"/>
    <w:rsid w:val="00894F76"/>
    <w:rsid w:val="00896412"/>
    <w:rsid w:val="00897A81"/>
    <w:rsid w:val="008A0474"/>
    <w:rsid w:val="008A0654"/>
    <w:rsid w:val="008A1476"/>
    <w:rsid w:val="008A4BC1"/>
    <w:rsid w:val="008A5729"/>
    <w:rsid w:val="008A7617"/>
    <w:rsid w:val="008A7C47"/>
    <w:rsid w:val="008B0235"/>
    <w:rsid w:val="008B0E4B"/>
    <w:rsid w:val="008B1E5B"/>
    <w:rsid w:val="008B23C4"/>
    <w:rsid w:val="008B2454"/>
    <w:rsid w:val="008B745B"/>
    <w:rsid w:val="008B7D4D"/>
    <w:rsid w:val="008B7FD4"/>
    <w:rsid w:val="008C0D53"/>
    <w:rsid w:val="008C19F4"/>
    <w:rsid w:val="008C24F7"/>
    <w:rsid w:val="008C25E2"/>
    <w:rsid w:val="008C261F"/>
    <w:rsid w:val="008C3FD8"/>
    <w:rsid w:val="008C484E"/>
    <w:rsid w:val="008C504E"/>
    <w:rsid w:val="008C7981"/>
    <w:rsid w:val="008D1182"/>
    <w:rsid w:val="008D1E1D"/>
    <w:rsid w:val="008D258A"/>
    <w:rsid w:val="008D3326"/>
    <w:rsid w:val="008D3FB1"/>
    <w:rsid w:val="008D77BC"/>
    <w:rsid w:val="008E01B1"/>
    <w:rsid w:val="008E22AA"/>
    <w:rsid w:val="008E3032"/>
    <w:rsid w:val="008E35E0"/>
    <w:rsid w:val="008E371D"/>
    <w:rsid w:val="008E3802"/>
    <w:rsid w:val="008E401C"/>
    <w:rsid w:val="008E5A43"/>
    <w:rsid w:val="008F0B23"/>
    <w:rsid w:val="008F2ADD"/>
    <w:rsid w:val="008F2D79"/>
    <w:rsid w:val="008F3B76"/>
    <w:rsid w:val="008F3EB3"/>
    <w:rsid w:val="008F4B4F"/>
    <w:rsid w:val="0090010C"/>
    <w:rsid w:val="009002F2"/>
    <w:rsid w:val="00902DAC"/>
    <w:rsid w:val="009030E3"/>
    <w:rsid w:val="009036B6"/>
    <w:rsid w:val="00903766"/>
    <w:rsid w:val="009058AA"/>
    <w:rsid w:val="009059DD"/>
    <w:rsid w:val="00906D51"/>
    <w:rsid w:val="00907443"/>
    <w:rsid w:val="00912110"/>
    <w:rsid w:val="0091326C"/>
    <w:rsid w:val="0091399C"/>
    <w:rsid w:val="009142E4"/>
    <w:rsid w:val="00917C06"/>
    <w:rsid w:val="00917C45"/>
    <w:rsid w:val="00922EA2"/>
    <w:rsid w:val="009249D5"/>
    <w:rsid w:val="00925429"/>
    <w:rsid w:val="00926220"/>
    <w:rsid w:val="0093020F"/>
    <w:rsid w:val="009306EC"/>
    <w:rsid w:val="00933705"/>
    <w:rsid w:val="00934A37"/>
    <w:rsid w:val="009355F1"/>
    <w:rsid w:val="00940311"/>
    <w:rsid w:val="009412E7"/>
    <w:rsid w:val="00941E28"/>
    <w:rsid w:val="00942147"/>
    <w:rsid w:val="0094308F"/>
    <w:rsid w:val="00944497"/>
    <w:rsid w:val="009454D7"/>
    <w:rsid w:val="00945993"/>
    <w:rsid w:val="00945ACF"/>
    <w:rsid w:val="00945FFC"/>
    <w:rsid w:val="00946116"/>
    <w:rsid w:val="00946D97"/>
    <w:rsid w:val="00947EF7"/>
    <w:rsid w:val="00950FA8"/>
    <w:rsid w:val="00951F95"/>
    <w:rsid w:val="00955FDB"/>
    <w:rsid w:val="00957EEF"/>
    <w:rsid w:val="0096270B"/>
    <w:rsid w:val="009641AB"/>
    <w:rsid w:val="00965A26"/>
    <w:rsid w:val="00965F0E"/>
    <w:rsid w:val="00966E67"/>
    <w:rsid w:val="00971C3F"/>
    <w:rsid w:val="00971E7C"/>
    <w:rsid w:val="00972CFD"/>
    <w:rsid w:val="00973CDC"/>
    <w:rsid w:val="00975006"/>
    <w:rsid w:val="009753D5"/>
    <w:rsid w:val="00976978"/>
    <w:rsid w:val="009804B3"/>
    <w:rsid w:val="009808C0"/>
    <w:rsid w:val="00980B19"/>
    <w:rsid w:val="00982A14"/>
    <w:rsid w:val="0098308A"/>
    <w:rsid w:val="009834DC"/>
    <w:rsid w:val="0098677B"/>
    <w:rsid w:val="00992DAA"/>
    <w:rsid w:val="00994A9D"/>
    <w:rsid w:val="00997697"/>
    <w:rsid w:val="009A00A8"/>
    <w:rsid w:val="009A025E"/>
    <w:rsid w:val="009A0EB6"/>
    <w:rsid w:val="009A1B3F"/>
    <w:rsid w:val="009A1EB7"/>
    <w:rsid w:val="009A2A80"/>
    <w:rsid w:val="009A3E1E"/>
    <w:rsid w:val="009A3F03"/>
    <w:rsid w:val="009A3FB0"/>
    <w:rsid w:val="009A40E8"/>
    <w:rsid w:val="009A4B57"/>
    <w:rsid w:val="009B182F"/>
    <w:rsid w:val="009B266D"/>
    <w:rsid w:val="009B44AC"/>
    <w:rsid w:val="009B5FA1"/>
    <w:rsid w:val="009C0E5A"/>
    <w:rsid w:val="009C2637"/>
    <w:rsid w:val="009C36EC"/>
    <w:rsid w:val="009C42A7"/>
    <w:rsid w:val="009C4850"/>
    <w:rsid w:val="009C5877"/>
    <w:rsid w:val="009D19F3"/>
    <w:rsid w:val="009D3584"/>
    <w:rsid w:val="009D7BBD"/>
    <w:rsid w:val="009D7CFE"/>
    <w:rsid w:val="009E053A"/>
    <w:rsid w:val="009E082E"/>
    <w:rsid w:val="009E1CAB"/>
    <w:rsid w:val="009E331D"/>
    <w:rsid w:val="009E3756"/>
    <w:rsid w:val="009E3BD4"/>
    <w:rsid w:val="009E5E48"/>
    <w:rsid w:val="009E6552"/>
    <w:rsid w:val="009E728D"/>
    <w:rsid w:val="009F1709"/>
    <w:rsid w:val="009F47B8"/>
    <w:rsid w:val="009F502C"/>
    <w:rsid w:val="009F6F08"/>
    <w:rsid w:val="009F780B"/>
    <w:rsid w:val="009F7C47"/>
    <w:rsid w:val="00A0134C"/>
    <w:rsid w:val="00A0254D"/>
    <w:rsid w:val="00A02AFD"/>
    <w:rsid w:val="00A0387C"/>
    <w:rsid w:val="00A06260"/>
    <w:rsid w:val="00A06A6E"/>
    <w:rsid w:val="00A106EC"/>
    <w:rsid w:val="00A109C1"/>
    <w:rsid w:val="00A13AEE"/>
    <w:rsid w:val="00A17DD2"/>
    <w:rsid w:val="00A200DC"/>
    <w:rsid w:val="00A221B3"/>
    <w:rsid w:val="00A23001"/>
    <w:rsid w:val="00A2381F"/>
    <w:rsid w:val="00A247B8"/>
    <w:rsid w:val="00A250FB"/>
    <w:rsid w:val="00A25681"/>
    <w:rsid w:val="00A25703"/>
    <w:rsid w:val="00A262A3"/>
    <w:rsid w:val="00A269CA"/>
    <w:rsid w:val="00A33273"/>
    <w:rsid w:val="00A33E85"/>
    <w:rsid w:val="00A34F20"/>
    <w:rsid w:val="00A35610"/>
    <w:rsid w:val="00A35E0B"/>
    <w:rsid w:val="00A3619D"/>
    <w:rsid w:val="00A3775E"/>
    <w:rsid w:val="00A4043A"/>
    <w:rsid w:val="00A40E1F"/>
    <w:rsid w:val="00A41A75"/>
    <w:rsid w:val="00A42B9E"/>
    <w:rsid w:val="00A43089"/>
    <w:rsid w:val="00A4608E"/>
    <w:rsid w:val="00A4687D"/>
    <w:rsid w:val="00A51845"/>
    <w:rsid w:val="00A5282B"/>
    <w:rsid w:val="00A56452"/>
    <w:rsid w:val="00A56660"/>
    <w:rsid w:val="00A57211"/>
    <w:rsid w:val="00A60756"/>
    <w:rsid w:val="00A61496"/>
    <w:rsid w:val="00A614D3"/>
    <w:rsid w:val="00A61573"/>
    <w:rsid w:val="00A618BA"/>
    <w:rsid w:val="00A62EEB"/>
    <w:rsid w:val="00A63846"/>
    <w:rsid w:val="00A63884"/>
    <w:rsid w:val="00A65FF5"/>
    <w:rsid w:val="00A666AA"/>
    <w:rsid w:val="00A72016"/>
    <w:rsid w:val="00A74AA1"/>
    <w:rsid w:val="00A754F9"/>
    <w:rsid w:val="00A758AD"/>
    <w:rsid w:val="00A773DD"/>
    <w:rsid w:val="00A80792"/>
    <w:rsid w:val="00A80CDE"/>
    <w:rsid w:val="00A821E6"/>
    <w:rsid w:val="00A82C83"/>
    <w:rsid w:val="00A833FC"/>
    <w:rsid w:val="00A85989"/>
    <w:rsid w:val="00A90C33"/>
    <w:rsid w:val="00A9358B"/>
    <w:rsid w:val="00A94BF0"/>
    <w:rsid w:val="00A957C5"/>
    <w:rsid w:val="00AA0B2D"/>
    <w:rsid w:val="00AA1120"/>
    <w:rsid w:val="00AA1B03"/>
    <w:rsid w:val="00AA2FE5"/>
    <w:rsid w:val="00AA3880"/>
    <w:rsid w:val="00AA419A"/>
    <w:rsid w:val="00AA4AB0"/>
    <w:rsid w:val="00AA4BB9"/>
    <w:rsid w:val="00AA4C2E"/>
    <w:rsid w:val="00AA6DCB"/>
    <w:rsid w:val="00AB0B4C"/>
    <w:rsid w:val="00AB3191"/>
    <w:rsid w:val="00AB4702"/>
    <w:rsid w:val="00AB4CCF"/>
    <w:rsid w:val="00AB5699"/>
    <w:rsid w:val="00AB5935"/>
    <w:rsid w:val="00AB6F2D"/>
    <w:rsid w:val="00AC0E26"/>
    <w:rsid w:val="00AC169A"/>
    <w:rsid w:val="00AC3A35"/>
    <w:rsid w:val="00AC4F05"/>
    <w:rsid w:val="00AC5F9C"/>
    <w:rsid w:val="00AC7AE1"/>
    <w:rsid w:val="00AC7E2C"/>
    <w:rsid w:val="00AD2ABD"/>
    <w:rsid w:val="00AD5B02"/>
    <w:rsid w:val="00AD6B27"/>
    <w:rsid w:val="00AD720A"/>
    <w:rsid w:val="00AD7BBD"/>
    <w:rsid w:val="00AE22CA"/>
    <w:rsid w:val="00AE3D60"/>
    <w:rsid w:val="00AE53FC"/>
    <w:rsid w:val="00AE59B2"/>
    <w:rsid w:val="00AE68AC"/>
    <w:rsid w:val="00AF032B"/>
    <w:rsid w:val="00AF0FDF"/>
    <w:rsid w:val="00AF1D9C"/>
    <w:rsid w:val="00AF215D"/>
    <w:rsid w:val="00AF366C"/>
    <w:rsid w:val="00AF4B4A"/>
    <w:rsid w:val="00AF7050"/>
    <w:rsid w:val="00B0026D"/>
    <w:rsid w:val="00B01A01"/>
    <w:rsid w:val="00B02266"/>
    <w:rsid w:val="00B03209"/>
    <w:rsid w:val="00B03511"/>
    <w:rsid w:val="00B0487B"/>
    <w:rsid w:val="00B06F01"/>
    <w:rsid w:val="00B10489"/>
    <w:rsid w:val="00B108DC"/>
    <w:rsid w:val="00B1142A"/>
    <w:rsid w:val="00B1222E"/>
    <w:rsid w:val="00B12C23"/>
    <w:rsid w:val="00B1321C"/>
    <w:rsid w:val="00B149A9"/>
    <w:rsid w:val="00B14F2B"/>
    <w:rsid w:val="00B15C13"/>
    <w:rsid w:val="00B17A0C"/>
    <w:rsid w:val="00B17C01"/>
    <w:rsid w:val="00B20440"/>
    <w:rsid w:val="00B20955"/>
    <w:rsid w:val="00B21300"/>
    <w:rsid w:val="00B25C47"/>
    <w:rsid w:val="00B27AA4"/>
    <w:rsid w:val="00B3057D"/>
    <w:rsid w:val="00B31243"/>
    <w:rsid w:val="00B31FC9"/>
    <w:rsid w:val="00B34538"/>
    <w:rsid w:val="00B34550"/>
    <w:rsid w:val="00B3679E"/>
    <w:rsid w:val="00B36955"/>
    <w:rsid w:val="00B40773"/>
    <w:rsid w:val="00B407A4"/>
    <w:rsid w:val="00B41E68"/>
    <w:rsid w:val="00B42655"/>
    <w:rsid w:val="00B431A7"/>
    <w:rsid w:val="00B43CC4"/>
    <w:rsid w:val="00B50DB1"/>
    <w:rsid w:val="00B5589B"/>
    <w:rsid w:val="00B56D6D"/>
    <w:rsid w:val="00B57B50"/>
    <w:rsid w:val="00B57CA5"/>
    <w:rsid w:val="00B605BB"/>
    <w:rsid w:val="00B60AD4"/>
    <w:rsid w:val="00B61DDC"/>
    <w:rsid w:val="00B630BB"/>
    <w:rsid w:val="00B663BA"/>
    <w:rsid w:val="00B67603"/>
    <w:rsid w:val="00B70D43"/>
    <w:rsid w:val="00B7341D"/>
    <w:rsid w:val="00B75217"/>
    <w:rsid w:val="00B7588E"/>
    <w:rsid w:val="00B7756D"/>
    <w:rsid w:val="00B815EB"/>
    <w:rsid w:val="00B83E79"/>
    <w:rsid w:val="00B84C00"/>
    <w:rsid w:val="00B8778C"/>
    <w:rsid w:val="00B878D2"/>
    <w:rsid w:val="00B924BD"/>
    <w:rsid w:val="00B924EB"/>
    <w:rsid w:val="00B926C9"/>
    <w:rsid w:val="00B942CC"/>
    <w:rsid w:val="00B94F54"/>
    <w:rsid w:val="00BA02CF"/>
    <w:rsid w:val="00BA07EC"/>
    <w:rsid w:val="00BA20A2"/>
    <w:rsid w:val="00BA277C"/>
    <w:rsid w:val="00BA38D4"/>
    <w:rsid w:val="00BA3CC5"/>
    <w:rsid w:val="00BA412F"/>
    <w:rsid w:val="00BA4A3F"/>
    <w:rsid w:val="00BA4C96"/>
    <w:rsid w:val="00BA6027"/>
    <w:rsid w:val="00BA7E0B"/>
    <w:rsid w:val="00BB0343"/>
    <w:rsid w:val="00BB12BB"/>
    <w:rsid w:val="00BB48A0"/>
    <w:rsid w:val="00BB5CC5"/>
    <w:rsid w:val="00BB642C"/>
    <w:rsid w:val="00BB6621"/>
    <w:rsid w:val="00BB7668"/>
    <w:rsid w:val="00BB7AF9"/>
    <w:rsid w:val="00BC398A"/>
    <w:rsid w:val="00BC6346"/>
    <w:rsid w:val="00BD56B6"/>
    <w:rsid w:val="00BD6411"/>
    <w:rsid w:val="00BE0626"/>
    <w:rsid w:val="00BE0A0B"/>
    <w:rsid w:val="00BE1E4D"/>
    <w:rsid w:val="00BE26DF"/>
    <w:rsid w:val="00BE382C"/>
    <w:rsid w:val="00BE6351"/>
    <w:rsid w:val="00BF1BD4"/>
    <w:rsid w:val="00BF3671"/>
    <w:rsid w:val="00BF381F"/>
    <w:rsid w:val="00BF3A64"/>
    <w:rsid w:val="00BF4F0B"/>
    <w:rsid w:val="00BF53C0"/>
    <w:rsid w:val="00BF6730"/>
    <w:rsid w:val="00BF7643"/>
    <w:rsid w:val="00BF7E4F"/>
    <w:rsid w:val="00C01070"/>
    <w:rsid w:val="00C028C2"/>
    <w:rsid w:val="00C0412F"/>
    <w:rsid w:val="00C04655"/>
    <w:rsid w:val="00C0487D"/>
    <w:rsid w:val="00C04979"/>
    <w:rsid w:val="00C07526"/>
    <w:rsid w:val="00C110AC"/>
    <w:rsid w:val="00C1154A"/>
    <w:rsid w:val="00C12D75"/>
    <w:rsid w:val="00C15587"/>
    <w:rsid w:val="00C21378"/>
    <w:rsid w:val="00C25700"/>
    <w:rsid w:val="00C30799"/>
    <w:rsid w:val="00C307DD"/>
    <w:rsid w:val="00C3199D"/>
    <w:rsid w:val="00C322BF"/>
    <w:rsid w:val="00C32A56"/>
    <w:rsid w:val="00C32B46"/>
    <w:rsid w:val="00C333FD"/>
    <w:rsid w:val="00C33E48"/>
    <w:rsid w:val="00C35E5B"/>
    <w:rsid w:val="00C405A5"/>
    <w:rsid w:val="00C40B8B"/>
    <w:rsid w:val="00C411C2"/>
    <w:rsid w:val="00C4260F"/>
    <w:rsid w:val="00C42B6A"/>
    <w:rsid w:val="00C42FFB"/>
    <w:rsid w:val="00C4644F"/>
    <w:rsid w:val="00C4666A"/>
    <w:rsid w:val="00C5016A"/>
    <w:rsid w:val="00C5057B"/>
    <w:rsid w:val="00C52955"/>
    <w:rsid w:val="00C5405B"/>
    <w:rsid w:val="00C54060"/>
    <w:rsid w:val="00C540FC"/>
    <w:rsid w:val="00C54A34"/>
    <w:rsid w:val="00C54DD9"/>
    <w:rsid w:val="00C5773B"/>
    <w:rsid w:val="00C6065C"/>
    <w:rsid w:val="00C612EB"/>
    <w:rsid w:val="00C63233"/>
    <w:rsid w:val="00C6328B"/>
    <w:rsid w:val="00C6390D"/>
    <w:rsid w:val="00C650ED"/>
    <w:rsid w:val="00C65283"/>
    <w:rsid w:val="00C66C04"/>
    <w:rsid w:val="00C67A2E"/>
    <w:rsid w:val="00C67BCE"/>
    <w:rsid w:val="00C700EB"/>
    <w:rsid w:val="00C70A93"/>
    <w:rsid w:val="00C70ABB"/>
    <w:rsid w:val="00C73585"/>
    <w:rsid w:val="00C76077"/>
    <w:rsid w:val="00C80ADD"/>
    <w:rsid w:val="00C819DB"/>
    <w:rsid w:val="00C82CB5"/>
    <w:rsid w:val="00C82CDD"/>
    <w:rsid w:val="00C84193"/>
    <w:rsid w:val="00C846DE"/>
    <w:rsid w:val="00C87D4B"/>
    <w:rsid w:val="00C87F73"/>
    <w:rsid w:val="00C91483"/>
    <w:rsid w:val="00C9382A"/>
    <w:rsid w:val="00C93C50"/>
    <w:rsid w:val="00C95097"/>
    <w:rsid w:val="00C967C3"/>
    <w:rsid w:val="00C969D7"/>
    <w:rsid w:val="00C97B3E"/>
    <w:rsid w:val="00CA0BE1"/>
    <w:rsid w:val="00CA225E"/>
    <w:rsid w:val="00CA269C"/>
    <w:rsid w:val="00CA3364"/>
    <w:rsid w:val="00CA3A9F"/>
    <w:rsid w:val="00CA55EB"/>
    <w:rsid w:val="00CB1A96"/>
    <w:rsid w:val="00CB2D20"/>
    <w:rsid w:val="00CB3DFD"/>
    <w:rsid w:val="00CB74AF"/>
    <w:rsid w:val="00CB74CC"/>
    <w:rsid w:val="00CC02A1"/>
    <w:rsid w:val="00CC21F0"/>
    <w:rsid w:val="00CC3127"/>
    <w:rsid w:val="00CC3843"/>
    <w:rsid w:val="00CC6205"/>
    <w:rsid w:val="00CC708A"/>
    <w:rsid w:val="00CC7851"/>
    <w:rsid w:val="00CC78E2"/>
    <w:rsid w:val="00CD24F3"/>
    <w:rsid w:val="00CD46AE"/>
    <w:rsid w:val="00CD5D06"/>
    <w:rsid w:val="00CD72B1"/>
    <w:rsid w:val="00CE053F"/>
    <w:rsid w:val="00CE2309"/>
    <w:rsid w:val="00CE716B"/>
    <w:rsid w:val="00CF3205"/>
    <w:rsid w:val="00CF373C"/>
    <w:rsid w:val="00CF398D"/>
    <w:rsid w:val="00CF52D3"/>
    <w:rsid w:val="00CF6D6E"/>
    <w:rsid w:val="00CF7200"/>
    <w:rsid w:val="00D04040"/>
    <w:rsid w:val="00D04148"/>
    <w:rsid w:val="00D04410"/>
    <w:rsid w:val="00D04A75"/>
    <w:rsid w:val="00D06A5D"/>
    <w:rsid w:val="00D06BAD"/>
    <w:rsid w:val="00D0718E"/>
    <w:rsid w:val="00D074A1"/>
    <w:rsid w:val="00D10121"/>
    <w:rsid w:val="00D1040C"/>
    <w:rsid w:val="00D10D05"/>
    <w:rsid w:val="00D1160E"/>
    <w:rsid w:val="00D1234C"/>
    <w:rsid w:val="00D13D5D"/>
    <w:rsid w:val="00D14332"/>
    <w:rsid w:val="00D157DE"/>
    <w:rsid w:val="00D16444"/>
    <w:rsid w:val="00D165D6"/>
    <w:rsid w:val="00D16F2B"/>
    <w:rsid w:val="00D207B7"/>
    <w:rsid w:val="00D207D8"/>
    <w:rsid w:val="00D21002"/>
    <w:rsid w:val="00D24150"/>
    <w:rsid w:val="00D260AF"/>
    <w:rsid w:val="00D33461"/>
    <w:rsid w:val="00D3551A"/>
    <w:rsid w:val="00D35DAE"/>
    <w:rsid w:val="00D366AC"/>
    <w:rsid w:val="00D40154"/>
    <w:rsid w:val="00D41185"/>
    <w:rsid w:val="00D41899"/>
    <w:rsid w:val="00D429B3"/>
    <w:rsid w:val="00D42D17"/>
    <w:rsid w:val="00D455C2"/>
    <w:rsid w:val="00D45C2A"/>
    <w:rsid w:val="00D4623F"/>
    <w:rsid w:val="00D46B89"/>
    <w:rsid w:val="00D47B24"/>
    <w:rsid w:val="00D51C1D"/>
    <w:rsid w:val="00D5228A"/>
    <w:rsid w:val="00D52E92"/>
    <w:rsid w:val="00D53AF3"/>
    <w:rsid w:val="00D54F3D"/>
    <w:rsid w:val="00D5564E"/>
    <w:rsid w:val="00D5596D"/>
    <w:rsid w:val="00D62FC9"/>
    <w:rsid w:val="00D663D3"/>
    <w:rsid w:val="00D70E7C"/>
    <w:rsid w:val="00D718B8"/>
    <w:rsid w:val="00D71C29"/>
    <w:rsid w:val="00D75454"/>
    <w:rsid w:val="00D75AD0"/>
    <w:rsid w:val="00D77625"/>
    <w:rsid w:val="00D7770E"/>
    <w:rsid w:val="00D8057E"/>
    <w:rsid w:val="00D833E5"/>
    <w:rsid w:val="00D8595E"/>
    <w:rsid w:val="00D85EBE"/>
    <w:rsid w:val="00D86BCC"/>
    <w:rsid w:val="00D8761F"/>
    <w:rsid w:val="00D9080D"/>
    <w:rsid w:val="00D91C76"/>
    <w:rsid w:val="00D93F93"/>
    <w:rsid w:val="00D9470E"/>
    <w:rsid w:val="00D95201"/>
    <w:rsid w:val="00D956B6"/>
    <w:rsid w:val="00D95C3F"/>
    <w:rsid w:val="00DA0DAC"/>
    <w:rsid w:val="00DA2559"/>
    <w:rsid w:val="00DA264C"/>
    <w:rsid w:val="00DA3001"/>
    <w:rsid w:val="00DA3AA6"/>
    <w:rsid w:val="00DA459A"/>
    <w:rsid w:val="00DA554A"/>
    <w:rsid w:val="00DB3AD8"/>
    <w:rsid w:val="00DB49EA"/>
    <w:rsid w:val="00DB49F8"/>
    <w:rsid w:val="00DB4EB6"/>
    <w:rsid w:val="00DB557B"/>
    <w:rsid w:val="00DB59D2"/>
    <w:rsid w:val="00DB78EE"/>
    <w:rsid w:val="00DB7EF6"/>
    <w:rsid w:val="00DC0B07"/>
    <w:rsid w:val="00DC1AFB"/>
    <w:rsid w:val="00DC30D3"/>
    <w:rsid w:val="00DC5E5C"/>
    <w:rsid w:val="00DC7D79"/>
    <w:rsid w:val="00DD0AA3"/>
    <w:rsid w:val="00DD1778"/>
    <w:rsid w:val="00DD2A37"/>
    <w:rsid w:val="00DD55ED"/>
    <w:rsid w:val="00DD5769"/>
    <w:rsid w:val="00DD663A"/>
    <w:rsid w:val="00DE09B4"/>
    <w:rsid w:val="00DE2E10"/>
    <w:rsid w:val="00DE2F9C"/>
    <w:rsid w:val="00DE4A88"/>
    <w:rsid w:val="00DE517A"/>
    <w:rsid w:val="00DF01A5"/>
    <w:rsid w:val="00DF3C19"/>
    <w:rsid w:val="00DF4BD9"/>
    <w:rsid w:val="00DF4F3B"/>
    <w:rsid w:val="00DF7395"/>
    <w:rsid w:val="00E00D90"/>
    <w:rsid w:val="00E01C63"/>
    <w:rsid w:val="00E0389B"/>
    <w:rsid w:val="00E05D20"/>
    <w:rsid w:val="00E067DC"/>
    <w:rsid w:val="00E113CA"/>
    <w:rsid w:val="00E13931"/>
    <w:rsid w:val="00E16062"/>
    <w:rsid w:val="00E2209C"/>
    <w:rsid w:val="00E24E88"/>
    <w:rsid w:val="00E2599F"/>
    <w:rsid w:val="00E25A76"/>
    <w:rsid w:val="00E27A0F"/>
    <w:rsid w:val="00E27E9E"/>
    <w:rsid w:val="00E303B9"/>
    <w:rsid w:val="00E316F3"/>
    <w:rsid w:val="00E31D85"/>
    <w:rsid w:val="00E337D8"/>
    <w:rsid w:val="00E3396C"/>
    <w:rsid w:val="00E3510C"/>
    <w:rsid w:val="00E41E00"/>
    <w:rsid w:val="00E42DE3"/>
    <w:rsid w:val="00E432C4"/>
    <w:rsid w:val="00E43906"/>
    <w:rsid w:val="00E45285"/>
    <w:rsid w:val="00E454A2"/>
    <w:rsid w:val="00E46FD1"/>
    <w:rsid w:val="00E47FBC"/>
    <w:rsid w:val="00E51BBF"/>
    <w:rsid w:val="00E5316E"/>
    <w:rsid w:val="00E53AC8"/>
    <w:rsid w:val="00E571E5"/>
    <w:rsid w:val="00E57807"/>
    <w:rsid w:val="00E57E3F"/>
    <w:rsid w:val="00E60FA4"/>
    <w:rsid w:val="00E61461"/>
    <w:rsid w:val="00E629C9"/>
    <w:rsid w:val="00E66CA5"/>
    <w:rsid w:val="00E70218"/>
    <w:rsid w:val="00E723CD"/>
    <w:rsid w:val="00E7504B"/>
    <w:rsid w:val="00E7568D"/>
    <w:rsid w:val="00E7587A"/>
    <w:rsid w:val="00E75FEB"/>
    <w:rsid w:val="00E776DE"/>
    <w:rsid w:val="00E80C5C"/>
    <w:rsid w:val="00E81164"/>
    <w:rsid w:val="00E821B8"/>
    <w:rsid w:val="00E84595"/>
    <w:rsid w:val="00E84E84"/>
    <w:rsid w:val="00E85A51"/>
    <w:rsid w:val="00E85F3C"/>
    <w:rsid w:val="00E861EC"/>
    <w:rsid w:val="00E863D4"/>
    <w:rsid w:val="00E868D5"/>
    <w:rsid w:val="00E86B55"/>
    <w:rsid w:val="00E876B2"/>
    <w:rsid w:val="00E90D0D"/>
    <w:rsid w:val="00E90D17"/>
    <w:rsid w:val="00E91E02"/>
    <w:rsid w:val="00E92FD5"/>
    <w:rsid w:val="00E93266"/>
    <w:rsid w:val="00E93390"/>
    <w:rsid w:val="00E97277"/>
    <w:rsid w:val="00EA0280"/>
    <w:rsid w:val="00EA1140"/>
    <w:rsid w:val="00EA2FC2"/>
    <w:rsid w:val="00EA377C"/>
    <w:rsid w:val="00EA3937"/>
    <w:rsid w:val="00EA3BC6"/>
    <w:rsid w:val="00EA5D5B"/>
    <w:rsid w:val="00EA760A"/>
    <w:rsid w:val="00EB04F6"/>
    <w:rsid w:val="00EB0A89"/>
    <w:rsid w:val="00EB4180"/>
    <w:rsid w:val="00EB4AC3"/>
    <w:rsid w:val="00EB72FF"/>
    <w:rsid w:val="00EC5448"/>
    <w:rsid w:val="00EC544C"/>
    <w:rsid w:val="00EC5C04"/>
    <w:rsid w:val="00EC626D"/>
    <w:rsid w:val="00EC6E30"/>
    <w:rsid w:val="00EC77A6"/>
    <w:rsid w:val="00EC7A4A"/>
    <w:rsid w:val="00ED0EBA"/>
    <w:rsid w:val="00ED11AA"/>
    <w:rsid w:val="00ED169D"/>
    <w:rsid w:val="00ED419E"/>
    <w:rsid w:val="00ED4756"/>
    <w:rsid w:val="00ED4F6E"/>
    <w:rsid w:val="00EE47CE"/>
    <w:rsid w:val="00EE4BD0"/>
    <w:rsid w:val="00EF061C"/>
    <w:rsid w:val="00EF1A8D"/>
    <w:rsid w:val="00EF20D8"/>
    <w:rsid w:val="00EF3FE2"/>
    <w:rsid w:val="00EF685F"/>
    <w:rsid w:val="00F01680"/>
    <w:rsid w:val="00F0314A"/>
    <w:rsid w:val="00F03344"/>
    <w:rsid w:val="00F058B1"/>
    <w:rsid w:val="00F07E4C"/>
    <w:rsid w:val="00F10B5F"/>
    <w:rsid w:val="00F11A1E"/>
    <w:rsid w:val="00F11F3F"/>
    <w:rsid w:val="00F124C0"/>
    <w:rsid w:val="00F12941"/>
    <w:rsid w:val="00F14BD2"/>
    <w:rsid w:val="00F14D7E"/>
    <w:rsid w:val="00F14D8B"/>
    <w:rsid w:val="00F15F1C"/>
    <w:rsid w:val="00F162CE"/>
    <w:rsid w:val="00F20741"/>
    <w:rsid w:val="00F2388D"/>
    <w:rsid w:val="00F23BDA"/>
    <w:rsid w:val="00F251CB"/>
    <w:rsid w:val="00F26463"/>
    <w:rsid w:val="00F26501"/>
    <w:rsid w:val="00F27237"/>
    <w:rsid w:val="00F27ED7"/>
    <w:rsid w:val="00F302B9"/>
    <w:rsid w:val="00F3044D"/>
    <w:rsid w:val="00F305CD"/>
    <w:rsid w:val="00F30FD1"/>
    <w:rsid w:val="00F3125B"/>
    <w:rsid w:val="00F32950"/>
    <w:rsid w:val="00F33ED6"/>
    <w:rsid w:val="00F3793B"/>
    <w:rsid w:val="00F42570"/>
    <w:rsid w:val="00F45790"/>
    <w:rsid w:val="00F46E7A"/>
    <w:rsid w:val="00F500C7"/>
    <w:rsid w:val="00F50BEE"/>
    <w:rsid w:val="00F50C44"/>
    <w:rsid w:val="00F51E74"/>
    <w:rsid w:val="00F52DF2"/>
    <w:rsid w:val="00F53275"/>
    <w:rsid w:val="00F53F11"/>
    <w:rsid w:val="00F55DD4"/>
    <w:rsid w:val="00F5796B"/>
    <w:rsid w:val="00F61633"/>
    <w:rsid w:val="00F64DD7"/>
    <w:rsid w:val="00F66E79"/>
    <w:rsid w:val="00F73DDB"/>
    <w:rsid w:val="00F74391"/>
    <w:rsid w:val="00F74863"/>
    <w:rsid w:val="00F75C3A"/>
    <w:rsid w:val="00F76C46"/>
    <w:rsid w:val="00F81722"/>
    <w:rsid w:val="00F83031"/>
    <w:rsid w:val="00F84331"/>
    <w:rsid w:val="00F84EAC"/>
    <w:rsid w:val="00F9088D"/>
    <w:rsid w:val="00F90F42"/>
    <w:rsid w:val="00F915DF"/>
    <w:rsid w:val="00F93551"/>
    <w:rsid w:val="00F9491A"/>
    <w:rsid w:val="00F94A19"/>
    <w:rsid w:val="00F955D0"/>
    <w:rsid w:val="00F97455"/>
    <w:rsid w:val="00FA0499"/>
    <w:rsid w:val="00FA09E1"/>
    <w:rsid w:val="00FA4D1F"/>
    <w:rsid w:val="00FA4F3F"/>
    <w:rsid w:val="00FA4F7C"/>
    <w:rsid w:val="00FA7083"/>
    <w:rsid w:val="00FA747E"/>
    <w:rsid w:val="00FB01FC"/>
    <w:rsid w:val="00FB16BF"/>
    <w:rsid w:val="00FB2525"/>
    <w:rsid w:val="00FB2B28"/>
    <w:rsid w:val="00FB4945"/>
    <w:rsid w:val="00FB5539"/>
    <w:rsid w:val="00FB575D"/>
    <w:rsid w:val="00FB5EA1"/>
    <w:rsid w:val="00FB5ECD"/>
    <w:rsid w:val="00FB6110"/>
    <w:rsid w:val="00FB6FE5"/>
    <w:rsid w:val="00FC06EC"/>
    <w:rsid w:val="00FC0F8E"/>
    <w:rsid w:val="00FC2542"/>
    <w:rsid w:val="00FC5D37"/>
    <w:rsid w:val="00FD2175"/>
    <w:rsid w:val="00FD367D"/>
    <w:rsid w:val="00FD46AF"/>
    <w:rsid w:val="00FD648C"/>
    <w:rsid w:val="00FD6DD8"/>
    <w:rsid w:val="00FE536A"/>
    <w:rsid w:val="00FE5BDE"/>
    <w:rsid w:val="00FF07AB"/>
    <w:rsid w:val="00FF3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099"/>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semiHidden/>
    <w:unhideWhenUsed/>
    <w:rsid w:val="00976978"/>
    <w:pPr>
      <w:spacing w:before="100" w:beforeAutospacing="1" w:after="100" w:afterAutospacing="1"/>
    </w:pPr>
    <w:rPr>
      <w:rFonts w:ascii="Times New Roman" w:hAnsi="Times New Roman"/>
      <w:color w:val="auto"/>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460964">
      <w:bodyDiv w:val="1"/>
      <w:marLeft w:val="0"/>
      <w:marRight w:val="0"/>
      <w:marTop w:val="0"/>
      <w:marBottom w:val="0"/>
      <w:divBdr>
        <w:top w:val="none" w:sz="0" w:space="0" w:color="auto"/>
        <w:left w:val="none" w:sz="0" w:space="0" w:color="auto"/>
        <w:bottom w:val="none" w:sz="0" w:space="0" w:color="auto"/>
        <w:right w:val="none" w:sz="0" w:space="0" w:color="auto"/>
      </w:divBdr>
    </w:div>
    <w:div w:id="189338916">
      <w:bodyDiv w:val="1"/>
      <w:marLeft w:val="0"/>
      <w:marRight w:val="0"/>
      <w:marTop w:val="0"/>
      <w:marBottom w:val="0"/>
      <w:divBdr>
        <w:top w:val="none" w:sz="0" w:space="0" w:color="auto"/>
        <w:left w:val="none" w:sz="0" w:space="0" w:color="auto"/>
        <w:bottom w:val="none" w:sz="0" w:space="0" w:color="auto"/>
        <w:right w:val="none" w:sz="0" w:space="0" w:color="auto"/>
      </w:divBdr>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45005725">
      <w:bodyDiv w:val="1"/>
      <w:marLeft w:val="0"/>
      <w:marRight w:val="0"/>
      <w:marTop w:val="0"/>
      <w:marBottom w:val="0"/>
      <w:divBdr>
        <w:top w:val="none" w:sz="0" w:space="0" w:color="auto"/>
        <w:left w:val="none" w:sz="0" w:space="0" w:color="auto"/>
        <w:bottom w:val="none" w:sz="0" w:space="0" w:color="auto"/>
        <w:right w:val="none" w:sz="0" w:space="0" w:color="auto"/>
      </w:divBdr>
    </w:div>
    <w:div w:id="496775395">
      <w:bodyDiv w:val="1"/>
      <w:marLeft w:val="0"/>
      <w:marRight w:val="0"/>
      <w:marTop w:val="0"/>
      <w:marBottom w:val="0"/>
      <w:divBdr>
        <w:top w:val="none" w:sz="0" w:space="0" w:color="auto"/>
        <w:left w:val="none" w:sz="0" w:space="0" w:color="auto"/>
        <w:bottom w:val="none" w:sz="0" w:space="0" w:color="auto"/>
        <w:right w:val="none" w:sz="0" w:space="0" w:color="auto"/>
      </w:divBdr>
    </w:div>
    <w:div w:id="533083130">
      <w:bodyDiv w:val="1"/>
      <w:marLeft w:val="0"/>
      <w:marRight w:val="0"/>
      <w:marTop w:val="0"/>
      <w:marBottom w:val="0"/>
      <w:divBdr>
        <w:top w:val="none" w:sz="0" w:space="0" w:color="auto"/>
        <w:left w:val="none" w:sz="0" w:space="0" w:color="auto"/>
        <w:bottom w:val="none" w:sz="0" w:space="0" w:color="auto"/>
        <w:right w:val="none" w:sz="0" w:space="0" w:color="auto"/>
      </w:divBdr>
    </w:div>
    <w:div w:id="586579088">
      <w:bodyDiv w:val="1"/>
      <w:marLeft w:val="0"/>
      <w:marRight w:val="0"/>
      <w:marTop w:val="0"/>
      <w:marBottom w:val="0"/>
      <w:divBdr>
        <w:top w:val="none" w:sz="0" w:space="0" w:color="auto"/>
        <w:left w:val="none" w:sz="0" w:space="0" w:color="auto"/>
        <w:bottom w:val="none" w:sz="0" w:space="0" w:color="auto"/>
        <w:right w:val="none" w:sz="0" w:space="0" w:color="auto"/>
      </w:divBdr>
    </w:div>
    <w:div w:id="882061555">
      <w:bodyDiv w:val="1"/>
      <w:marLeft w:val="0"/>
      <w:marRight w:val="0"/>
      <w:marTop w:val="0"/>
      <w:marBottom w:val="0"/>
      <w:divBdr>
        <w:top w:val="none" w:sz="0" w:space="0" w:color="auto"/>
        <w:left w:val="none" w:sz="0" w:space="0" w:color="auto"/>
        <w:bottom w:val="none" w:sz="0" w:space="0" w:color="auto"/>
        <w:right w:val="none" w:sz="0" w:space="0" w:color="auto"/>
      </w:divBdr>
    </w:div>
    <w:div w:id="1144737919">
      <w:bodyDiv w:val="1"/>
      <w:marLeft w:val="0"/>
      <w:marRight w:val="0"/>
      <w:marTop w:val="0"/>
      <w:marBottom w:val="0"/>
      <w:divBdr>
        <w:top w:val="none" w:sz="0" w:space="0" w:color="auto"/>
        <w:left w:val="none" w:sz="0" w:space="0" w:color="auto"/>
        <w:bottom w:val="none" w:sz="0" w:space="0" w:color="auto"/>
        <w:right w:val="none" w:sz="0" w:space="0" w:color="auto"/>
      </w:divBdr>
    </w:div>
    <w:div w:id="1340617096">
      <w:bodyDiv w:val="1"/>
      <w:marLeft w:val="0"/>
      <w:marRight w:val="0"/>
      <w:marTop w:val="0"/>
      <w:marBottom w:val="0"/>
      <w:divBdr>
        <w:top w:val="none" w:sz="0" w:space="0" w:color="auto"/>
        <w:left w:val="none" w:sz="0" w:space="0" w:color="auto"/>
        <w:bottom w:val="none" w:sz="0" w:space="0" w:color="auto"/>
        <w:right w:val="none" w:sz="0" w:space="0" w:color="auto"/>
      </w:divBdr>
    </w:div>
    <w:div w:id="1350451422">
      <w:bodyDiv w:val="1"/>
      <w:marLeft w:val="0"/>
      <w:marRight w:val="0"/>
      <w:marTop w:val="0"/>
      <w:marBottom w:val="0"/>
      <w:divBdr>
        <w:top w:val="none" w:sz="0" w:space="0" w:color="auto"/>
        <w:left w:val="none" w:sz="0" w:space="0" w:color="auto"/>
        <w:bottom w:val="none" w:sz="0" w:space="0" w:color="auto"/>
        <w:right w:val="none" w:sz="0" w:space="0" w:color="auto"/>
      </w:divBdr>
    </w:div>
    <w:div w:id="1506285229">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695687612">
      <w:bodyDiv w:val="1"/>
      <w:marLeft w:val="0"/>
      <w:marRight w:val="0"/>
      <w:marTop w:val="0"/>
      <w:marBottom w:val="0"/>
      <w:divBdr>
        <w:top w:val="none" w:sz="0" w:space="0" w:color="auto"/>
        <w:left w:val="none" w:sz="0" w:space="0" w:color="auto"/>
        <w:bottom w:val="none" w:sz="0" w:space="0" w:color="auto"/>
        <w:right w:val="none" w:sz="0" w:space="0" w:color="auto"/>
      </w:divBdr>
    </w:div>
    <w:div w:id="1727872132">
      <w:bodyDiv w:val="1"/>
      <w:marLeft w:val="0"/>
      <w:marRight w:val="0"/>
      <w:marTop w:val="0"/>
      <w:marBottom w:val="0"/>
      <w:divBdr>
        <w:top w:val="none" w:sz="0" w:space="0" w:color="auto"/>
        <w:left w:val="none" w:sz="0" w:space="0" w:color="auto"/>
        <w:bottom w:val="none" w:sz="0" w:space="0" w:color="auto"/>
        <w:right w:val="none" w:sz="0" w:space="0" w:color="auto"/>
      </w:divBdr>
    </w:div>
    <w:div w:id="1809010174">
      <w:bodyDiv w:val="1"/>
      <w:marLeft w:val="0"/>
      <w:marRight w:val="0"/>
      <w:marTop w:val="0"/>
      <w:marBottom w:val="0"/>
      <w:divBdr>
        <w:top w:val="none" w:sz="0" w:space="0" w:color="auto"/>
        <w:left w:val="none" w:sz="0" w:space="0" w:color="auto"/>
        <w:bottom w:val="none" w:sz="0" w:space="0" w:color="auto"/>
        <w:right w:val="none" w:sz="0" w:space="0" w:color="auto"/>
      </w:divBdr>
    </w:div>
    <w:div w:id="205989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17F52-6CBE-4379-BB8F-1A50C306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1779</Words>
  <Characters>10146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11902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155</cp:revision>
  <cp:lastPrinted>2018-08-09T06:06:00Z</cp:lastPrinted>
  <dcterms:created xsi:type="dcterms:W3CDTF">2018-08-06T10:10:00Z</dcterms:created>
  <dcterms:modified xsi:type="dcterms:W3CDTF">2018-08-13T09:55:00Z</dcterms:modified>
</cp:coreProperties>
</file>